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ATAS/415/2016 vom 23. Mai 2016</w:t>
      </w:r>
    </w:p>
    <w:p>
      <w:r>
        <w:t>GE Cour de justice, 2016-05-23, FR</w:t>
      </w:r>
    </w:p>
    <w:p>
      <w:r>
        <w:rPr>
          <w:b/>
        </w:rPr>
        <w:t xml:space="preserve">Quelle: </w:t>
      </w:r>
      <w:r>
        <w:t>https://mcp.opencaselaw.ch/entscheid/ge_gerichte_ATAS_415_2016</w:t>
      </w:r>
    </w:p>
    <w:p>
      <w:r>
        <w:t>FR: GE_GERICHTE ATAS/415/2016 du 23 mai 2016</w:t>
      </w:r>
    </w:p>
    <w:p>
      <w:r>
        <w:t>IT: GE_GERICHTE ATAS/415/2016 del 23 maggio 2016</w:t>
      </w:r>
    </w:p>
    <w:p>
      <w:pPr>
        <w:pStyle w:val="Heading2"/>
      </w:pPr>
      <w:r>
        <w:t>Erwägungen</w:t>
      </w:r>
    </w:p>
    <w:p>
      <w:r>
        <w:rPr>
          <w:b/>
        </w:rPr>
        <w:t>E. 29</w:t>
      </w:r>
    </w:p>
    <w:p>
      <w:r>
        <w:t>Le docteur V______, médecin du SMR, a émis un avis médical le 19 février 2015. Suite au précédent avis du SMR, dont les termes sont expressément repris, le SMR a appris que l’assurée était suivie par un psychiatre, le Dr U______, qui indique une incapacité de 70 % en raison d’un syndrome douloureux somatoforme persistant sévère. Il n’y a pas d’autre diagnostic psychiatrique invalidant influençant la</w:t>
      </w:r>
    </w:p>
    <w:p>
      <w:r>
        <w:t>A/2263/2015 - 18/34 - capacité de travail avec une intensité suffisante pour être reconnue pour l’AI. Le SMR conclut que la situation est inchangée après l’expertise du CEMed depuis le 3 décembre 2012. La capacité de travail de l’assurée est entière.</w:t>
      </w:r>
    </w:p>
    <w:p>
      <w:r>
        <w:rPr>
          <w:b/>
        </w:rPr>
        <w:t>E. 30</w:t>
      </w:r>
    </w:p>
    <w:p>
      <w:r>
        <w:t>Le 2 mars 2015, l’OAI a adressé à l’assurée un projet de refus de toute prestation. Après avoir pris connaissance des divers éléments médicaux ainsi que de l’expertise médicale mandatée par l’assurance perte de gain de l’employeur, le SMR reconnaît une incapacité de travail de 50 % dans toute activité depuis le 10 janvier 2012 jusqu’au 2 décembre 2012. Dès le 3 décembre 2012, l’assurée a pu retrouver une pleine capacité de travail dans toute activité professionnelle. S’agissant du droit à la rente, l’incapacité de travail n’a pas duré une année, de sorte qu’un droit éventuel à la rente n’entre pas en ligne de compte. D’éventuelles mesures professionnelles n’ont pas lieu d’être. La demande est rejetée.</w:t>
      </w:r>
    </w:p>
    <w:p>
      <w:r>
        <w:rPr>
          <w:b/>
        </w:rPr>
        <w:t>E. 31</w:t>
      </w:r>
    </w:p>
    <w:p>
      <w:r>
        <w:t>Représentée par un avocat, l’assurée a contesté le projet susmentionné par courrier du 23 avril 2015. Un examen rigoureux et complet de la période litigieuse conclut à la couverture d’une période largement suffisante permettant l’allocation d’une rente complète.</w:t>
      </w:r>
    </w:p>
    <w:p>
      <w:r>
        <w:rPr>
          <w:b/>
        </w:rPr>
        <w:t>E. 32</w:t>
      </w:r>
    </w:p>
    <w:p>
      <w:r>
        <w:t>Les observations de l’assurée n’ayant pas été complétées malgré le délai supplémentaire accordé, l’OAI, par courrier recommandé du 28 mai 2015, a notifié une décision de refus de rente d’invalidité reprenant rigoureusement les termes du projet.</w:t>
      </w:r>
    </w:p>
    <w:p>
      <w:r>
        <w:rPr>
          <w:b/>
        </w:rPr>
        <w:t>E. 33</w:t>
      </w:r>
    </w:p>
    <w:p>
      <w:r>
        <w:t>Par courrier du 29 juin 2015, le conseil de l’assurée s’est à nouveau adressé à l’OAI. Se référant à la décision du 28 mai 2015, d’une part, observant d’autre part qu’entre-temps le Tribunal fédéral avait rendu un arrêt très important en matière de trouble somatoforme douloureux et autres atteintes de même nature, comme la fibromyalgie. En examinant les critères et motifs de la décision du 28 mai 2015, force était de constater que celle-ci ne respecte nullement les nouveaux principes juridiques posés par le Tribunal fédéral. En conséquence l’OAI était invité à rapporter sa décision du 28 mai 2015 et à reprendre l’examen de la cause, conformément à la jurisprudence citée, et dans le respect des droits procéduraux de l’assurée.</w:t>
      </w:r>
    </w:p>
    <w:p>
      <w:r>
        <w:rPr>
          <w:b/>
        </w:rPr>
        <w:t>E. 34</w:t>
      </w:r>
    </w:p>
    <w:p>
      <w:r>
        <w:t>Par courrier du 29 juin 2015, parallèlement au précédent, l’assurée, représentée par son conseil, a saisi la chambre des assurances sociales de la Cour de justice d’un recours contre la décision du 28 mai 2015. Elle conclut sous suite de frais et dépens à l’annulation de la décision entreprise et à sa réforme en ce sens que le droit à une rente d’invalidité entière doit lui être reconnue. Elle fait principalement valoir que depuis que la décision attaquée avait été rendue, le Tribunal fédéral avait rendu un arrêt très important le 3 juin 2015 (arrêt 9C_492/2014) destiné à la publication. Cette décision impose de nouveaux critères et méthodes en la matière. Il conviendra plus qu’avant de tenir compte des effets de l’atteinte à la santé sur les aptitudes de la personne concernée à exercer son travail et les fonctions de la vie quotidienne. La capacité de travail du patient doit être déterminée sur la base d’une vision</w:t>
      </w:r>
    </w:p>
    <w:p>
      <w:r>
        <w:t>A/2263/2015 - 19/34 - d’ensemble à la lumière des circonstances du cas particulier et sans résultat prédéfini. Force est de constater que la décision attaquée ne respecte nullement ces nouveaux principes. Pour ce motif déjà elle doit être annulée et la cause renvoyée à l’autorité pour nouvelle instruction puis décision au sens des considérants. Elle sollicite subsidiairement l’ouverture d’enquêtes notamment l’audition du médecin traitant ainsi que de la Dresse H______, et les personnes de l’entourage de l’assurée. Sur le fond la décision entreprise, mal motivée, se contente de se référer à un rapport (d’expertise) rendu à destination d’un assureur privé. C’est précisément ce que le Tribunal fédéral entend éviter à travers cette nouvelle jurisprudence. Enfin, si par impossible l’autorité intimée devait refuser de retirer sa décision, la recourante demande d’ores et déjà à être autorisée à compléter ses écritures.</w:t>
      </w:r>
    </w:p>
    <w:p>
      <w:r>
        <w:rPr>
          <w:b/>
        </w:rPr>
        <w:t>E. 35</w:t>
      </w:r>
    </w:p>
    <w:p>
      <w:r>
        <w:t>La chambre de céans a invité l’intimé à répondre au recours, et dans le même temps à se déterminer par rapport aux changements de pratique objet de la nouvelle jurisprudence du Tribunal fédéral.</w:t>
      </w:r>
    </w:p>
    <w:p>
      <w:r>
        <w:rPr>
          <w:b/>
        </w:rPr>
        <w:t>E. 36</w:t>
      </w:r>
    </w:p>
    <w:p>
      <w:r>
        <w:t>Dans le délai imparti, l’intimé a conclu au rejet du recours. Il persiste intégralement dans les termes de la décision entreprise, et s’agissant de l’applicabilité de la nouvelle jurisprudence en matière d’évaluation du droit à une rente AI en cas d’affection psychosomatique et assimilée, il fait valoir qu’en matière d’assurances sociales les règles applicables sont celles en vigueur au moment où les faits juridiquement déterminants se sont produits. Selon la jurisprudence, un changement de jurisprudence n’est un motif ni de révision ni de reconsidération et ne déploie, en règle ordinaire, des effets que pour l’avenir. L’interdiction de la rétroactivité fait ainsi obstacle à la question des principes dégagés dans l’arrêt visé par la recourante, aux faits couverts par la décision du 28 mai 2015. Par ailleurs, contrairement à ce que soutient le conseil de la recourante, l’instruction du dossier permet de statuer en pleine connaissance de cause sur l’état de santé et la capacité de travail de l’assurée, de sorte que la mise en œuvre de mesures d’investigations complémentaires sont superflues et n’apporteraient vraisemblablement aucune information ne figurant déjà au dossier.</w:t>
      </w:r>
    </w:p>
    <w:p>
      <w:r>
        <w:rPr>
          <w:b/>
        </w:rPr>
        <w:t>E. 37</w:t>
      </w:r>
    </w:p>
    <w:p>
      <w:r>
        <w:t>La chambre de céans a réservé la suite de la procédure.</w:t>
      </w:r>
    </w:p>
    <w:p>
      <w:r>
        <w:rPr>
          <w:b/>
        </w:rPr>
        <w:t>E. 38</w:t>
      </w:r>
    </w:p>
    <w:p>
      <w:r>
        <w:t>Sur quoi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A/2263/2015 - 20/34 -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56 LPGA; art. 62 al. 1 de la de loi sur la procédure administrative du 12 septembre 1985 [LPA - E 5 10]). Interjeté dans la forme et le délai prévus par la loi, le recours est recevable (art. 56 ss LPGA et 62 ss LPA). 4. Le litige porte sur le droit de l’assurée à des prestations de l’assurance-invalidité à raison de l’atteinte à la santé, singulièrement sur la question de savoir si les troubles qui l’affectent sont de nature à avoir une influence sur sa capacité de travail et de gain. 5.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w:t>
      </w:r>
    </w:p>
    <w:p>
      <w:r>
        <w:t>A/2263/2015 - 21/34 -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I.237/04 du 30 novembre 2004 consid. 4.2) 7.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w:t>
      </w:r>
    </w:p>
    <w:p>
      <w:r>
        <w:t>A/2263/2015 - 22/34 -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 2013 consid. 5). 8.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w:t>
      </w:r>
    </w:p>
    <w:p>
      <w:r>
        <w:t>A/2263/2015 - 23/34 -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 9.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w:t>
      </w:r>
    </w:p>
    <w:p>
      <w:r>
        <w:t>A/2263/2015 - 24/34 -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w:t>
      </w:r>
    </w:p>
    <w:p>
      <w:r>
        <w:t>A/2263/2015 - 25/34 -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A/2263/2015 - 26/34 -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w:t>
      </w:r>
    </w:p>
    <w:p>
      <w:r>
        <w:t>A/2263/2015 - 27/34 -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A/2263/2015 - 28/34 -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w:t>
      </w:r>
    </w:p>
    <w:p>
      <w:r>
        <w:t>A/2263/2015 - 29/34 -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12. En l’espèce, le diagnostic de trouble somatoforme douloureux a été posé très tôt, par le Dr J______, certes neurologue, dans son rapport du 13 février 2012 au médecin-traitant. Mais il a ensuite été repris par les experts, rhumatologue et psychiatre, du CEMed, dans leur rapport du 29 novembre 2012, et par la suite par la plupart des médecins consultés par la recourante, y compris par son psychiatre traitant le Dr U______ dans son rapport du 3 juin 2014. L’OAI a considéré, dans sa décision du 28 mai 2015, essentiellement sur la base du rapport d’expertise établi le 29 novembre 2012 par les Drs K______ et M______ du CEMed, qu’il n’y avait pas de comorbidité psychiatrique grave, d’une part, et que les critères requis par le Tribunal fédéral jusqu’ici n’étaient pas réalisés, d’autre part. Il a dès lors exclu la présence d’un TSD invalidant et rejeté la demande, considérant avec les experts du CEMed que la recourante devait se voir reconnaître une pleine capacité de travail dans toute activité. Or, par arrêt du 3 juin 2015, le Tribunal fédéral a modifié sa jurisprudence. Il y a dorénavant lieu d’examiner si les répercussions fonctionnelles de l’atteinte à la santé constatée médicalement sont prouvées de manière définitive et sans contradiction avec une vraisemblance (au moins) prépondérante au moyen des indicateurs standard. Force est de constater que l’expertise des Drs K______ et M______ du CEMed ne permet pas de répondre à ces questions.</w:t>
      </w:r>
    </w:p>
    <w:p>
      <w:r>
        <w:t>A/2263/2015 - 30/34 - Certes, le Tribunal fédéral a considéré que les expertises antérieures à sa nouvelle jurisprudence n'étaient pas nécessairement dépourvues de valeur probante, dans la mesure où certains principes prévalaient antérieurement.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Dans le cas d'espèce, il convient tout d'abord d'observer que les experts du CEMed ont remarqué d'emblée qu'à l'époque de leur expertise, le dossier qui leur avait été soumis était très sommaire, et ne comportait guère que deux certificats ou rapports médicaux. Certes font-ils référence dans le corps de leur expertise à des rapports médicaux d'autres médecins consultés entre-temps par l'expertisée, mais ne sont pas exhaustifs sur ce point. Force est toutefois de constater que dès fin 2012, respectivement dès le courant de l'année 2013, et jusqu'à la décision de l'OAI du 28 mai 2015, d'autres avis médicaux - outre le médecin traitant - ont été émis, notamment par la Dresse P______, le 19 juin 2013, la Dresse N______ en juillet 2013, lesquelles ont toutes deux confirmé le diagnostic de trouble somatoforme douloureux, sans substrat organique clair, ni diagnostic neurologique ou rhumatologique; le médecin traitant, dans un rapport du 15 mai 2013, fait état d'un état de santé stationnaire depuis un an, puis dans son rapport du 20 décembre 2013, d'une aggravation de l'état de santé, retenant un état dépressif réactionnel, et des polymyalgies en augmentation progressive depuis six mois, l'aggravation s'étant manifestée par des difficultés à la marche, de façon progressive, et des difficultés à rester assise longtemps et à marcher, ainsi que des atteintes de cervicalgies invalidantes. Il considérait à l'époque que la capacité de travail était nulle dans le poste de travail occupé, de même que dans une activité adaptée ; le Dr S______ dans son rapport du 14 décembre 2013, conclut lui aussi à un probable syndrome douloureux chronique; par le psychiatre traitant, le Dr U______ le 3 juin 2014, qui confirme pour sa part le même diagnostic, qualifiant d'ailleurs ces troubles de sévères, sans retenir de diagnostic psychiatrique, mais retenant pour sa part une incapacité de travail de 70 % en raison du syndrome douloureux somatoforme persistant. Ces avis médicaux n'ont pas été soumis aux experts de 2012. Or, si ces divers avis ne peuvent pas, individuellement ou collectivement, se voir reconnaître une pleine valeur probante, notamment car la plupart des médecins consultés ne se sont pas prononcés clairement sur les questions relatives au taux d'incapacité de travail, résultant des troubles dont se plaint la recourante, force est tout de même de constater qu'ils viennent infirmer les prévisions des experts. En effet, les experts considéraient en septembre 2012 (au moment de l'examen) qu'une incapacité de travail de 50 % se justifiait en tenant compte du trouble somatoforme, du dysfonctionnement de la personnalité, l’état clinique étant encore perturbé, mais qu’une amélioration devrait être possible dans un délai de deux mois, ce qui les a amenés à conclure, sans autre vérification de leurs prévisions, dans leur rapport du</w:t>
      </w:r>
    </w:p>
    <w:p>
      <w:r>
        <w:t>A/2263/2015 - 31/34 - 29 novembre 2012, que la capacité de travail « sera » de 100% dès le 3 décembre 2012. ». On ne peut tout d'abord que s'étonner de ce qu'une éventualité émise en septembre 2012, devienne ainsi une certitude, deux mois plus tard, et ceci alors même que l'expert psychiatre suspectait un trouble de la personnalité émotionnellement labile de type borderline, qui justifiait selon lui une prise en charge psychiatrique afin de préciser le diagnostic de ce trouble. Sur cet aspect essentiel, - et cela tient peut-être à la nature quelque peu différente d'une expertise entrant dans le contexte d'une assurance perte de gain, par rapport à celle qui serait ordonnée par l'organe d'application de l'assurance-invalidité -, le rapport d'expertise du CEMed ne saurait se voir attribuer une pleine valeur probante au sens des critères de la jurisprudence. On ne comprend pas en effet les raisons pour lesquelles la capacité de travail aurait subrepticement passé de 50 % à 100 %, dans le cas concret. Mais surtout, dans le cas d'espèce, le pronostic des experts ne s'est pas vérifié. À ce sujet, si sur le plan rhumatologique ils ont considéré que le pronostic était favorable, ils ont immédiatement relativisé ce qualificatif en considérant que l'expérience médicale montrait que chez une personne « avec un tel comportement démonstratif et caricatural, il y avait certainement des bénéfices secondaires, même si inconscients. » Selon eux, cela constituait certainement un frein à la reprise d'une activité normale. Sur le plan psychique, le pronostic était lui aussi formellement favorable, mais nuancé par le fait qu'un risque de rechute ne pouvait être exclu, selon les experts, étant donné la suspicion du trouble de la personnalité. On rappellera à cet égard que la nouvelle jurisprudence du Tribunal fédéral a prescrit d'abandonner la prise en compte de la notion de bénéfice (« primaire » ou « secondaire » selon qui s'exprime). Cela est d'autant plus judicieux en l'espèce, les considérations des experts à ce sujet procédant plus de suppositions que de considérations objectives, et que d'autres éléments du dossier, se référant notamment à des entretiens avec la recourante, vont dans un sens contraire. Un autre élément, essentiel selon la nouvelle jurisprudence, fait défaut dans ce rapport d'expertise : le Tribunal fédéral considère en effet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Sur ces questions, le rapport d'expertise du 29 novembre 2012 est largement insuffisant, de sorte qu'un</w:t>
      </w:r>
    </w:p>
    <w:p>
      <w:r>
        <w:t>A/2263/2015 - 32/34 - renvoi à l'intimé pour la mise en œuvre d'une nouvelle expertise est nécessaire et se justifie pleinement. Il s’agira également de se demander, selon les nouveaux indicateurs prescrits par la jurisprudence, notamment si l’atteinte à la santé limite l’assurée de manière semblable dans son activité professionnelle ou dans l’exécution de ses travaux habituels et dans les autres activités (par exemple, les loisirs). Le critère du retrait social utilisé jusqu’ici, certes retenu par les experts mais sans conséquence dans leur appréciation, doit désormais être interprété de telle sorte qu’il se réfère non seulement aux limitations mais également aux ressources de l’assurée et à sa capacité à les mobiliser. Dans la mesure du possible, il convient de comparer le niveau d’activité sociale de l’assurée avant et après la survenance de l’atteinte à la santé. S'agissant du type d'expertise que l'intimé devra mettre en place, il y a toutefois lieu d'observer que sur le plan rhumatologique, le dossier paraît suffisamment étayé, l'expert et les médecins qui ont examiné l'assurée, avant et après l'expertise, ayant des points de vue concordants pour l'essentiel. Il n'en va pas de même par rapport à l'aspect psychique, de sorte qu'une expertise psychiatrique uniquement devra être mise en œuvre, mais répondant en tous points aux exigences actuelles de la pratique instaurée par le Tribunal fédéral, depuis son arrêt topique de juin 2015, l'intégralité des indicateurs devant être pris en compte par l'expert, pour qu'il soit à même de se prononcer valablement par rapport aux conséquences du trouble somatoforme douloureux sur la capacité de travail, pleine ou résiduelle, de la recourante. Le présent renvoi de la cause à l'OAI laissera toutefois à l'intimé toute la marge d'appréciation pour décider en définitive, après actualisation de l'état de santé de la recourante, de la nécessité de faire appel, conjointement à l'expert psychiatre, à un co-expert rhumatologue. 13. Invité à se déterminer, l’OAI a indiqué le 29 juillet 2015 qu’il n’entendait pas appliquer la nouvelle jurisprudence fédérale à la présente cause, au motif qu’« en matière d’assurances sociales, les règles applicables sont celles en vigueur au moment où les faits juridiquement déterminants se sont produits (ATF 127 V 467 consid. 1). Un changement de jurisprudence n’est un motif ni de révision, ni de reconsidération et ne déploie, en règle ordinaire, des effets que pour l’avenir (ATF 119 V 413 consid. 3a et les références) ». Il est évident qu’une nouvelle jurisprudence ne constitue ni un motif de révision ni un motif de reconsidération. Il va également de soi qu’un changement de jurisprudence ne vaut que pour les cas futurs. Il importe en revanche de souligner qu’il s’applique pour les affaires pendantes devant un tribunal au moment du changement de jurisprudence (ATF 108 V 3). Il n’est alors question ni de révision ni de reconsidération. S’agissant du raisonnement tenu par l’OAI, qui impliquerait que la décision contre laquelle l’assurée a interjeté recours le 29 juin 2015, soit entrée en force, il y a lieu</w:t>
      </w:r>
    </w:p>
    <w:p>
      <w:r>
        <w:t>A/2263/2015 - 33/34 - de relever que ladite décision n’est précisément pas entrée en force, puisqu’elle fait l’objet du présent litige. C’est donc en vain que l’OAI cite expressément un arrêt du Tribunal fédéral à l’appui de son refus de se déterminer quant à la nouvelle jurisprudence (119 V 410). En effet, dans cet arrêt, le Tribunal fédéral se demande en réalité si le fait qu’une décision soit entrée en force s’oppose à une application de la nouvelle jurisprudence. La décision du 28 mai 2015 n’étant en l’espèce pas entrée en force, la modification de jurisprudence à laquelle a procédé le Tribunal fédéral dans son arrêt du 3 juin 2015 ne peut être que prise en considération pour résoudre le présent litige. 14. La chambre de céans constate, à la lumière de cette jurisprudence relative aux troubles somatoformes douloureux, que la présente cause est insuffisamment instruite pour lui permettre de trancher. Il se justifie en conséquence d’admettre le recours, d’annuler la décision du 28 mai 2015 et de renvoyer la cause à l’OAI pour instruction complémentaire, au sens des considérants, et pour nouvelle décision. La recourante obtenant gain de cause, une indemnité de CHF 1’500.-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A/2263/2015 - 34/34 -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