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ATAS/415/2009 vom 7. April 2009</w:t>
      </w:r>
    </w:p>
    <w:p>
      <w:r>
        <w:t>GE Cour de justice, 2009-04-07, FR</w:t>
      </w:r>
    </w:p>
    <w:p>
      <w:r>
        <w:rPr>
          <w:b/>
        </w:rPr>
        <w:t xml:space="preserve">Quelle: </w:t>
      </w:r>
      <w:r>
        <w:t>https://mcp.opencaselaw.ch/entscheid/ge_gerichte_ATAS_415_2009</w:t>
      </w:r>
    </w:p>
    <w:p>
      <w:r>
        <w:t>FR: GE_GERICHTE ATAS/415/2009 du 7 avril 2009</w:t>
      </w:r>
    </w:p>
    <w:p>
      <w:r>
        <w:t>IT: GE_GERICHTE ATAS/415/2009 del 7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 Il en va de même des dispositions de la novelle du 23 mars 2003 (4ème révision), entrée en vigueur le 1er janvier 2004. Les dispositions de la LAI dans sa teneur en vigueur à compter du 1er janvier 2008 (5ème révision) ne trouvent par contre pas application au cas d’espèce, la demande de prestations ayant été déposée avant cette date.</w:t>
      </w:r>
    </w:p>
    <w:p>
      <w:r>
        <w:rPr>
          <w:b/>
        </w:rPr>
        <w:t>E. 3</w:t>
      </w:r>
    </w:p>
    <w:p>
      <w:r>
        <w:t>Respectant les forme et délai prévus par la loi, le présent recours est recevable (art. 60 LPGA).</w:t>
      </w:r>
    </w:p>
    <w:p>
      <w:r>
        <w:rPr>
          <w:b/>
        </w:rPr>
        <w:t>E. 4</w:t>
      </w:r>
    </w:p>
    <w:p>
      <w:r>
        <w:t>Le litige porte sur le droit de l'assuré à une rente de l’assurance-invalidité dans le cadre d’une nouvelle demande de prestations après un premier refus pour taux d’invalidité insuffisant.</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t>A/4446/2009 - 9/13 - b) Lorsqu'elle est saisie d'une nouvelle demande, l'administration doit commencer par examiner si les allégations de l'assuré sont, d'une manière générale, plausibles. Si la rente a été refusée parce que le degré d'invalidité était insuffisant, la nouvelle demande ne peut être examinée que si l'assuré rend plausible que son invalidité s'est modifiée de manière à influencer ses droits (art. 87 al. 3 et 4 RAI).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En pareille hypothèse, l’administration (ou le juge en cas de recours) doit examiner l'affaire au fond et vérifier que la modification de l'invalidité rendue plausible par l'assuré est réellement intervenue; elle doit donc procéder de la même manière qu'en cas de révision au sens de l'art. 17 LPGA. Si elle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 V 114 consid. 2a et b).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w:t>
      </w:r>
    </w:p>
    <w:p>
      <w:r>
        <w:t>A/4446/2009 - 10/13 -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w:t>
      </w:r>
    </w:p>
    <w:p>
      <w:r>
        <w:rPr>
          <w:b/>
        </w:rPr>
        <w:t>E. 7</w:t>
      </w:r>
    </w:p>
    <w:p>
      <w:r>
        <w:t>a) En l'espèce, l’intimé est entré en matière sur la nouvelle demande de prestations, de sorte que ce point n’a plus à être examiné par la Juridiction de céans. Reste à répondre à la question de savoir si c’est à juste titre que l’office intimé a considéré qu’il n’y avait pas de motif à révision, ou, en d’autres termes, pas d’aggravation de l’état de santé par rapport à la situation qui prévalait au moment de la décision initiale de refus de prestations de 2004.</w:t>
      </w:r>
    </w:p>
    <w:p>
      <w:r>
        <w:t>A/4446/2009 - 11/13 - b) Lors du refus initial, l’administration avait constaté, selon décision entrée en force et sur laquelle il ne se justifie pas de revenir - ce que le recourant ne réclame au demeurant pas - que ce dernier présentait des cervico-lombalgies chroniques persistantes dans le cadre de troubles statiques et discrètement dégénératifs rachidiens étagés (M54.9), une périarthrite de hanche gauche et un psoriasis. Ces affections engendraient les limitations fonctionnelles suivantes : pas de travail imposant des mouvements répétés de rotation de la tête ou le maintien prolongé de la tête en rétroflexion ou dans la même position, pas de travail nécessitant le soulèvement régulier de charges d’un poids excédant 10 kg ou le port régulier de charges d’un poids excédant 20 kg, pas de travail en porte-à-faux statique du tronc et nécessité de pouvoir alterner une fois par heure la position assise et la position debout. En conséquence, l’assuré avait été reconnu incapable de poursuivre l’exercice de sa profession de plâtrier-maçon, mais il pouvait cependant faire valoir une capacité de travail entière dans un poste adapté. Suite à l’instruction diligentée dans le cadre de la nouvelle demande de prestations, l’intimé a soumis le recourant à un examen rhumatologique effectué par le docteur A_________. Le rapport rendu par ce dernier, quoi qu’en dise le recourant, emporte la conviction. Il remplit en effet à l’évidence les critères posés par la jurisprudence et rappelés ci-dessus pour que lui soit accordée pleine valeur probante (anamnèse complète, constatations cliniques et plaintes de l’expertisé rapportées, documents médicaux et professionnels à disposition résumés, synthèse claire de l’ensemble des éléments et discussion très fouillée des conclusions, absence de contradiction). Et l’on ne saurait s’en écarter au profit de considérations émanant d’institutions d’observation professionnelle, dès lors que, comme le relève à juste titre l’intimé, de telles informations doivent se limiter à compléter les données médicales et non à les suppléer, la détermination de la capacité de travail étant prioritairement la tâche du médecin. D’autre part, les déductions faites par les organes de l’assurance- chômage ne sauraient non plus prévaloir, dès lors que cette assurance n’applique pas les mêmes principes que l’assurance-invalidité en matière de reconnaissance d’une incapacité de travail et de ses conséquences sur le droit aux prestations. Enfin, contrairement à ce qu’allègue l’intéressé, les conclusions du docteur A_________ ne sont de loin pas en contradiction avec les avis médicaux au dossier. L’ensemble des praticiens s’accordent - il est vrai - sur le fait que l’intéressé ne peut plus raisonnablement exercer son activité de plâtrier-maçon, mais ils ne nient pas pour autant toute capacité de travail résiduelle. Seul le médecin traitant semble diverger de cette appréciation ; il ne motive cependant pas vraiment son avis, se fiant presque uniquement aux plaintes exprimées par son patient et, de surcroît, il se prononce sur un taux d’invalidité qui devrait, selon lui, être reconnu, alors que sa tâche est limitée à la définition de la capacité de travail. Le Tribunal de céans s’en remettra donc, du point de vue médical, aux conclusions du docteur A_________ qui a posé les diagnostics de cervico-dorso-lombalgies chroniques persistantes dans le cadre de troubles statiques et discrètement dégénératifs étagés (M54.9), status</w:t>
      </w:r>
    </w:p>
    <w:p>
      <w:r>
        <w:t>A/4446/2009 - 12/13 - post cure de hernie discale C6-C7 en octobre 2006 et suspicion de sacro-illite (M46.1). Il a considéré la reprise de l’activité antérieure impossible, mais a fixé la capacité de travail à 100 % dans une activité adaptée respectant les limitations suivantes : pas de rotations répétées de la tête ou de travail en rétroflexion de la nuque ou en position immobile de la tête, pas de port de charges de plus de 15 kg, ni de soulèvement régulier de charges de plus de 8 kg et nécessité de pouvoir alterner régulièrement la position assise et la position debout. Certes, la doctoresse J________ a relaté un état dépressif léger à moyen et l’introduction d’une médication ad hoc, mais aucun médecin, ni le recourant lui-même, ne parle de véritable influence de cet état psychique sur sa capacité de travail. En outre, le docteur A_________, quand bien même il n’est pas lui-même psychiatre, a exclu une telle problématique de façon convaincante. Enfin, il convient encore d’écarter l’argument du recourant lié aux problèmes engendrés par le psoriasis, qui le prétériterait fortement dans la recherche d’un emploi. Cette affection, déclarée sans influence sur la capacité de travail par les médecins, ne l’a en effet nullement empêché de travailler durant la vingtaine d’années précédant le dépôt de la première demande AI. Partant, et malgré les plaintes de l’intéressé qui invoque une détérioration de son état de santé, on doit constater que celui-ci n’a, d’un point de vue objectif, pas véritablement évolué. Les diagnostics posés, ainsi que les limitations fonctionnelles reconnues sont superposables à la situation prévalant au moment du refus initial de rente en 2004. Les conditions de l’art. 17 LPGA, applicables dans le cadre d’une nouvelle demande, ne sont par conséquent pas remplies en l’espèce et la décision de l’intimé ne peut être que confirmée.</w:t>
      </w:r>
    </w:p>
    <w:p>
      <w:r>
        <w:rPr>
          <w:b/>
        </w:rPr>
        <w:t>E. 8</w:t>
      </w:r>
    </w:p>
    <w:p>
      <w:r>
        <w:t>Le recourant, qui succombe, supportera les frais de la procédure fixés à 200 fr.</w:t>
      </w:r>
    </w:p>
    <w:p>
      <w:r>
        <w:t>A/4446/2009 - 13/13 -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