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ATAS/414/2023 vom 9. Juni 2023</w:t>
      </w:r>
    </w:p>
    <w:p>
      <w:r>
        <w:t>GE Cour de justice, 2023-06-09, FR</w:t>
      </w:r>
    </w:p>
    <w:p>
      <w:r>
        <w:rPr>
          <w:b/>
        </w:rPr>
        <w:t xml:space="preserve">Quelle: </w:t>
      </w:r>
      <w:r>
        <w:t>https://mcp.opencaselaw.ch/entscheid/ge_gerichte_ATAS_414_2023</w:t>
      </w:r>
    </w:p>
    <w:p>
      <w:r>
        <w:t>FR: GE_GERICHTE ATAS/414/2023 du 9 juin 2023</w:t>
      </w:r>
    </w:p>
    <w:p>
      <w:r>
        <w:t>IT: GE_GERICHTE ATAS/414/2023 del 9 giugno 2023</w:t>
      </w:r>
    </w:p>
    <w:p>
      <w:pPr>
        <w:pStyle w:val="Heading2"/>
      </w:pPr>
      <w:r>
        <w:t>Erwägungen</w:t>
      </w:r>
    </w:p>
    <w:p>
      <w:r>
        <w:rPr>
          <w:b/>
        </w:rPr>
        <w:t>E. 1</w:t>
      </w:r>
    </w:p>
    <w:p>
      <w:r>
        <w:t>La compétence de la CJCAS et la recevabilité du recours ont déjà été admises dans l’ordonnance d’expertise du 10 mai 2021.</w:t>
      </w:r>
    </w:p>
    <w:p>
      <w:r>
        <w:rPr>
          <w:b/>
        </w:rPr>
        <w:t>E. 2.1</w:t>
      </w:r>
    </w:p>
    <w:p>
      <w:r>
        <w:t>L’assuré a droit à une rente lorsqu’il a présenté une incapacité de travail (art. 6 LPGA) d’au moins 40% en moyenne durant une année sans interruption notable et qu’au terme de cette année, il est invalide (art.8 LPGA) à 40% au moins (cf. art. 28 al. 1 let. b et c LAI, en sa teneur en vigueur dès le 1er janvier 2008 – 5ème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2.2.1</w:t>
      </w:r>
    </w:p>
    <w:p>
      <w:r>
        <w:t>L'évaluation des syndromes sans pathogenèse ni étiologie claires et sans constat de déficit organique ne fait pas l'objet d'un consensus médical (arrêt du Tribunal fédéral 9C_619/2012 du 9 juillet 2013 consid. 4.1). La reconnaissance de l'existence de troubles somatoformes douloureux persistants suppose d'abord la présence d'un diagnostic émanant d'un expert (psychiatre) et s'appuyant lege artis sur les critères d'un système de classification reconnu (ATF 130 V 396 consid. 5.3). Le diagnostic de fibromyalgie, qui est d’abord le fait d’un médecin rhumatologue, doit s’appuyer lege artis sur les critères d’un système de classification reconnu (ATF 132 V 65 consid. 3.4 et 4.3 ; arrêt du Tribunal fédéral 9C_430/2009 du 27 novembre 2009 consid. 3.4 ; arrêt du Tribunal fédéral des assurances I 134/05 du 13 mars 2006 consid. 3.2.1.3 et 3.2.2.3). Le diagnostic d'un trouble douloureux somatoforme doit être justifié médicalement de telle manière que les personnes chargées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w:t>
      </w:r>
    </w:p>
    <w:p>
      <w:r>
        <w:t>A/2366/2020 - 7/14 -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w:t>
      </w:r>
    </w:p>
    <w:p>
      <w:r>
        <w:rPr>
          <w:b/>
        </w:rPr>
        <w:t>E. 2.2.2</w:t>
      </w:r>
    </w:p>
    <w:p>
      <w:r>
        <w:t>Les principes jurisprudentiels développés en matière de troubles somatoformes douloureux sont également applicables à la fibromyalgie (ATF 132 V 65 consid. 4.1), au syndrome de fatigue chronique ou de neurasthénie (ATF 139 V 346; arrêt du Tribunal fédéral 9C_662/2009 du 17 août 2010 consid.</w:t>
      </w:r>
    </w:p>
    <w:p>
      <w:r>
        <w:rPr>
          <w:b/>
        </w:rPr>
        <w:t>E. 2.2.3</w:t>
      </w:r>
    </w:p>
    <w:p>
      <w:r>
        <w:t>Dans un arrêt du 3 juin 2015 (ATF 141 V 281), le Tribunal fédéral a jugé que la capacité de travail réellement exigible des personnes souffrant d’une symptomatologie douloureuse sans substrat organique doit être évaluée dans le cadre d’une procédure d’établissement des faits structurée et sur la base d’une vision d’ensemble, à la lumière des circonstances du cas particulier et sans résultat prédéfini. L’évaluation doit être effectuée sur la base d’un catalogue d’indicateurs de gravité et de cohérence. Il faut examiner, en premier lieu, le degré de gravité inhérent au diagnostic du syndrome douloureux somatoforme, dont la plainte essentielle doit concerner une douleur persistante, intense, s’accompagnant d’un sentiment de détresse selon la définition de l’Organisation mondiale de la santé. Dans ce contexte, il faut tenir</w:t>
      </w:r>
    </w:p>
    <w:p>
      <w:r>
        <w:t>A/2366/2020 - 8/14 - compte des critères d'exclusion, à savoir des limitations liées à l’exercice d’une activité résultant d’une exagération des symptômes ou d’une constellation semblable, telle qu’une discordance entre les douleurs décrites et le comportement observé, l’allégation d’intenses douleurs dont les caractéristiques demeurent vagues, l’absence de demandes de soins, de grandes divergences entre les informations fournies par le patient et celles ressortant de l’anamnèse, le fait que les plaintes très démonstratives laissent insensibles l’expert, ainsi que l’allégation de lourds handicaps malgré un environnement psychosocial intact. La gravité de l'évolution de la maladie doit aussi être rendue plausible par les éléments ressortant de l'étiologie et de la pathogenèse déterminantes pour le diagnostic, comme par exemple la présence de conflits émotionnels et de problèmes psycho-sociaux. Un deuxième indicateur est l’échec de tous les traitements conformes aux règles de l’art, en dépit d'une coopération optimale. Il n’y a chronicisation qu’après plusieurs années et après avoir épuisé toutes les possibilités de traitement, ainsi que les mesures de réadaptation et d’intégration. Le refus de l’assuré de participer à de telles mesures constitue un indice sérieux d’une atteinte non invalidante. Pour déterminer les ressources de l’assuré, il convient d'établir s'il y a des comorbidités psychiatriques et somatiques. Un trouble dépressif réactionnel au trouble somatoforme peut être considéré comme une comorbidité psychiatrique. La structure de la personnalité de l’assuré constitue un indicateur pour évaluer ses ressources. Il faut tenir compte non seulement des formes classiques des diagnostics de la personnalité, mais également des capacités inhérentes à la personnalité, qui permettent de tirer des conclusions sur la capacité de travail (notamment la conscience de soi et de l’autre, l'examen de la réalité et la formation du jugement, le contrôle des affects et des impulsions ainsi que l’intentionnalité. Il faut prendre en compte les effets de l'environnement social. L’incapacité de travail ne doit pas être essentiellement le résultat de facteurs socio-culturels. Pour l'évaluation des ressources de l'assuré, il faut tenir compte de celles qu'il peut tirer de son environnement, notamment du soutien dont il bénéficie éventuellement dans son réseau social. Il convient encore d'examiner si les limitations sont uniformes dans tous les domaines de la vie et d’effectuer une comparaison des activités sociales avant et après la survenance de l’atteinte à la santé. La souffrance doit se traduire par un recours aux offres thérapeutiques existantes. Il ne faut toutefois pas conclure à l’absence de lourdes souffrances, lorsque le refus ou la mauvaise acceptation d’une thérapie recommandée et exigible doivent être attribués à une incapacité de l’assuré de reconnaître sa maladie. Le comportement de la personne assurée dans le cadre de la réadaptation</w:t>
      </w:r>
    </w:p>
    <w:p>
      <w:r>
        <w:t>A/2366/2020 - 9/14 - professionnelle, notamment ses propres efforts de réadaptation, doivent également être pris en compte. L'organe chargé de l'application du droit doit avant de procéder à l'examen des indicateurs mentionnés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Le juge vérifie librement si l’expert médical a exclusivement tenu compte des déficits fonctionnels résultant de l’atteinte à la santé et si son évaluation de l’exigibilité repose sur une base objective. Une expertise psychiatrique est, en principe, nécessaire quand il s'agit de se prononcer sur l'incapacité de travail que les troubles somatoformes douloureux sont susceptibles d'entraîner (ATF 130 V 352).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(ATF 141 V 281 consid. 8; arrêt du Tribunal fédéral 9C_797/2017 du 22 mars 2018 consid. 4.2).</w:t>
      </w:r>
    </w:p>
    <w:p>
      <w:r>
        <w:rPr>
          <w:b/>
        </w:rPr>
        <w:t>E. 2.3</w:t>
      </w:r>
    </w:p>
    <w:p>
      <w:r>
        <w:t>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 En revanche, ils ne sont pas applicables par analogie à la fatigue liée au cancer (cancer-related Fatigue) (ATF 139 V 346 consid. 3; arrêt du Tribunal fédéral 9C_73/2013 du 2 septembre 2013 consid. 5).</w:t>
      </w:r>
    </w:p>
    <w:p>
      <w:r>
        <w:rPr>
          <w:b/>
        </w:rPr>
        <w:t>E. 2.3.1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2.3.2</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w:t>
      </w:r>
    </w:p>
    <w:p>
      <w:r>
        <w:t>A/2366/2020 - 10/14 -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rPr>
          <w:b/>
        </w:rPr>
        <w:t>E. 2.4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3</w:t>
      </w:r>
    </w:p>
    <w:p>
      <w:r>
        <w:t>En l’espèce, il convient en premier lieu d’examiner la valeur probante de l’expertise du Dr I______.</w:t>
      </w:r>
    </w:p>
    <w:p>
      <w:r>
        <w:rPr>
          <w:b/>
        </w:rPr>
        <w:t>E. 3.1</w:t>
      </w:r>
    </w:p>
    <w:p>
      <w:r>
        <w:t>Celle-ci remplit les critères formels permettant de lui reconnaître en principe une pleine valeur probante.</w:t>
      </w:r>
    </w:p>
    <w:p>
      <w:r>
        <w:rPr>
          <w:b/>
        </w:rPr>
        <w:t>E. 3.2</w:t>
      </w:r>
    </w:p>
    <w:p>
      <w:r>
        <w:t>Le SMR a toutefois fait valoir que l’expert rhumatologue avait posé le diagnostic de syndrome douloureux chronique F48, qui n’était pas de son ressort, mais de celui d’un psychiatre. L’expert a répondu à cette critique en indiquant qu’il utilisait depuis plus de 15 ans dans ses expertises le diagnostic F45 pour le syndrome douloureux chronique, car il n’existait pas de rubrique ICD-10 adaptée à ce tableau clinique. Il était difficile de différencier les troubles somatoformes et les troubles de la gestion de la douleur. Du moins, ce dernier n’était en aucun cas un diagnostic psychiatrique. À sa connaissance, cela n’avait jamais été contesté. Dans le cas présent, le tableau douloureux concernait surtout le genou et le dos, avec une extension secondaire de la douleur à tout le corps. Au vu de la demande, la ICD- 10 R52.2 lui semblait finalement plus approprié pour ce cas. Dans ses explications, il a évoqué à plusieurs reprises des symptômes fonctionnels, par exemple dues à des tensions musculaires réactives. Hormis le code F45, il ressortait clairement de son point de vue qu’il se référait à des symptômes, limitations des ressources physiques et non psychiques. Le SMR a relevé que selon la CIM-10, le code R52.2 correspondait à « autres douleurs chroniques » telles que : douleurs osseuses généralisées, douleurs chroniques, syndrome douloureux chronique, état douloureux chronique, syndrome algique chronique, souffrances chroniques, douleurs invalidantes,</w:t>
      </w:r>
    </w:p>
    <w:p>
      <w:r>
        <w:t>A/2366/2020 - 11/14 - syndrome algique permanent, douleurs chroniques diffuses, souffrances chroniques, souffrances. Pour le SMR, ce diagnostic n’amenait pas plus de clarification sur le diagnostic rhumatologique final, les limitations rhumatologiques et la capacité de travail résiduelle qui en découlait. Il s’agissait d’un diagnostic d’exclusion qui englobait aussi un état douloureux chronique. Lors de son expertise, l’expert n’avait pas analysé les différents diagnostics différentiels concernant les lombalgies et les douleurs multifocales. Par ailleurs, son examen clinique ne permettait pas d’évaluer si le recourant présentait effectivement des contractures musculaires objectives, notamment du rachis. Ainsi, l’expertise rhumatologique n’était pas convaincante. En l’occurrence, l’expert a constaté que les plaintes actuelles du recourant ne pouvaient être objectivées. Il a néanmoins retenu une atteinte à la santé au raison des limitations fonctionnelles constatées et des ressources du recourant, qu’il estimait limitées sur le plan physique et probablement psychique, relevant qu’une réévaluation psychique serait éventuellement justifiée. Il a posé des diagnostics concernant des syndromes sans pathogenèse ni étiologie claires et sans constat de déficit organique. Dans ces circonstances, une expertise psychiatrique apparaît nécessaire pour déterminer si un diagnostic psychiatrique doit être posé en l’espèce ainsi que pour examiner les critères d’exigibilité d’une activité professionnelle développés par le Tribunal fédéral et se prononcer sur la capacité de travail du recourant.</w:t>
      </w:r>
    </w:p>
    <w:p>
      <w:r>
        <w:rPr>
          <w:b/>
        </w:rPr>
        <w:t>E. 4</w:t>
      </w:r>
    </w:p>
    <w:p>
      <w:r>
        <w:t>Une expertise psychiatrique sera ainsi ordonnée.</w:t>
      </w:r>
    </w:p>
    <w:p>
      <w:r>
        <w:rPr>
          <w:b/>
        </w:rPr>
        <w:t>E. 5</w:t>
      </w:r>
    </w:p>
    <w:p>
      <w:r>
        <w:t>Diagnostics selon la classification internationale. Précisez quels critères de classification sont remplis et de quelle manière (notamment l’étiologie et la pathogénèse).</w:t>
      </w:r>
    </w:p>
    <w:p>
      <w:r>
        <w:rPr>
          <w:b/>
        </w:rPr>
        <w:t>E. 6</w:t>
      </w:r>
    </w:p>
    <w:p>
      <w:r>
        <w:t>Depuis quand les différentes atteintes sont-elles présentes ?</w:t>
      </w:r>
    </w:p>
    <w:p>
      <w:r>
        <w:rPr>
          <w:b/>
        </w:rPr>
        <w:t>E. 7</w:t>
      </w:r>
    </w:p>
    <w:p>
      <w:r>
        <w:t>Quel est le degré de gravité de chacun des troubles diagnostiqués (faible, moyen, grave) ?</w:t>
      </w:r>
    </w:p>
    <w:p>
      <w:r>
        <w:rPr>
          <w:b/>
        </w:rPr>
        <w:t>E. 8</w:t>
      </w:r>
    </w:p>
    <w:p>
      <w:r>
        <w:t>Les troubles psychiques constatés nécessitent-ils une prise en charge spécialisée ?</w:t>
      </w:r>
    </w:p>
    <w:p>
      <w:r>
        <w:rPr>
          <w:b/>
        </w:rPr>
        <w:t>E. 9</w:t>
      </w:r>
    </w:p>
    <w:p>
      <w:r>
        <w:t>Existe-t-il un trouble de la personnalité ou, une altération des capacités inhérentes à la personnalité ?</w:t>
      </w:r>
    </w:p>
    <w:p>
      <w:r>
        <w:rPr>
          <w:b/>
        </w:rPr>
        <w:t>E. 10</w:t>
      </w:r>
    </w:p>
    <w:p>
      <w:r>
        <w:t>Quelles sont ses répercussions fonctionnelles (conscience de soi et de l’autre, appréhension de la réalité et formation du jugement, contrôle des affects et des impulsions, intentionnalité, motivation,</w:t>
      </w:r>
    </w:p>
    <w:p>
      <w:r>
        <w:t>A/2366/2020 - 13/14 - notamment) sur la capacité à gérer le quotidien, à travailler et/ou en termes d’adaptation ? Motiver votre position.</w:t>
      </w:r>
    </w:p>
    <w:p>
      <w:r>
        <w:rPr>
          <w:b/>
        </w:rPr>
        <w:t>E. 11</w:t>
      </w:r>
    </w:p>
    <w:p>
      <w:r>
        <w:t>De quelles ressources mobilisables l’assuré dispose-t-il ?</w:t>
      </w:r>
    </w:p>
    <w:p>
      <w:r>
        <w:rPr>
          <w:b/>
        </w:rPr>
        <w:t>E. 12</w:t>
      </w:r>
    </w:p>
    <w:p>
      <w:r>
        <w:t>Quel est le contexte social ? L’assuré peut-il compter sur le soutien de ses proches ?</w:t>
      </w:r>
    </w:p>
    <w:p>
      <w:r>
        <w:rPr>
          <w:b/>
        </w:rPr>
        <w:t>E. 13</w:t>
      </w:r>
    </w:p>
    <w:p>
      <w:r>
        <w:t>Pour le cas où il y aurait refus ou mauvaise acceptation d’une thérapie recommandée et accessible : cette attitude doit-elle être attribuée à une incapacité de l’assuré à reconnaître sa maladie ?</w:t>
      </w:r>
    </w:p>
    <w:p>
      <w:r>
        <w:rPr>
          <w:b/>
        </w:rPr>
        <w:t>E. 14</w:t>
      </w:r>
    </w:p>
    <w:p>
      <w:r>
        <w:t>Dans l’ensemble, le comportement de l’assuré vous semble-t-il cohérent ? Pourquoi ?</w:t>
      </w:r>
    </w:p>
    <w:p>
      <w:r>
        <w:rPr>
          <w:b/>
        </w:rPr>
        <w:t>E. 15</w:t>
      </w:r>
    </w:p>
    <w:p>
      <w:r>
        <w:t>Les plaintes sont-elles objectivées ?</w:t>
      </w:r>
    </w:p>
    <w:p>
      <w:r>
        <w:rPr>
          <w:b/>
        </w:rPr>
        <w:t>E. 16</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l’assuré).</w:t>
      </w:r>
    </w:p>
    <w:p>
      <w:r>
        <w:rPr>
          <w:b/>
        </w:rPr>
        <w:t>E. 17</w:t>
      </w:r>
    </w:p>
    <w:p>
      <w:r>
        <w:t>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rPr>
          <w:b/>
        </w:rPr>
        <w:t>E. 18</w:t>
      </w:r>
    </w:p>
    <w:p>
      <w:r>
        <w:t>Dans l’affirmative, considérez-vous que cela suffise à exclure une atteinte à la santé significative ?</w:t>
      </w:r>
    </w:p>
    <w:p>
      <w:r>
        <w:rPr>
          <w:b/>
        </w:rPr>
        <w:t>E. 19</w:t>
      </w:r>
    </w:p>
    <w:p>
      <w:r>
        <w:t>Quels ont été les traitements entrepris et avec quel succès (évolution et résultats des thérapies) ?</w:t>
      </w:r>
    </w:p>
    <w:p>
      <w:r>
        <w:rPr>
          <w:b/>
        </w:rPr>
        <w:t>E. 20</w:t>
      </w:r>
    </w:p>
    <w:p>
      <w:r>
        <w:t>L’assuré a-t-il fait preuve de résistance à l’égard des traitements proposés ? La compliance est-elle bonne ?</w:t>
      </w:r>
    </w:p>
    <w:p>
      <w:r>
        <w:rPr>
          <w:b/>
        </w:rPr>
        <w:t>E. 21</w:t>
      </w:r>
    </w:p>
    <w:p>
      <w:r>
        <w:t>Dans quelle mesure les traitements ont-ils été mis à profit ou négligés ?</w:t>
      </w:r>
    </w:p>
    <w:p>
      <w:r>
        <w:rPr>
          <w:b/>
        </w:rPr>
        <w:t>E. 22</w:t>
      </w:r>
    </w:p>
    <w:p>
      <w:r>
        <w:t>Effectuer un dosage sanguin des psychotropes et antalgiques afin d’évaluer la compliance et/ou la biodisponibilité.</w:t>
      </w:r>
    </w:p>
    <w:p>
      <w:r>
        <w:rPr>
          <w:b/>
        </w:rPr>
        <w:t>E. 23</w:t>
      </w:r>
    </w:p>
    <w:p>
      <w:r>
        <w:t>Les limitations du niveau d’activité sont-elles uniformes dans tous les domaines (professionnel mais aussi personnel) ? Quel est le niveau d’activité sociale et comment a-t-il évolué depuis la survenance de l’atteinte à la santé ?</w:t>
      </w:r>
    </w:p>
    <w:p>
      <w:r>
        <w:rPr>
          <w:b/>
        </w:rPr>
        <w:t>E. 24</w:t>
      </w:r>
    </w:p>
    <w:p>
      <w:r>
        <w:t>Mentionner, pour chaque diagnostic posé, les limitations fonctionnelles qu’il entraîne</w:t>
      </w:r>
    </w:p>
    <w:p>
      <w:r>
        <w:t>A/2366/2020 - 14/14 - a) dans l’activité habituelle, b) dans une activité adaptée.</w:t>
      </w:r>
    </w:p>
    <w:p>
      <w:r>
        <w:rPr>
          <w:b/>
        </w:rPr>
        <w:t>E. 25</w:t>
      </w:r>
    </w:p>
    <w:p>
      <w:r>
        <w:t>Quelles sont les conséquences de l’ensemble des diagnostics retenus sur la capacité de travail de l’assuré, en pourcent. a) dans l’activité habituelle, b) dans une activité adaptée.</w:t>
      </w:r>
    </w:p>
    <w:p>
      <w:r>
        <w:rPr>
          <w:b/>
        </w:rPr>
        <w:t>E. 26</w:t>
      </w:r>
    </w:p>
    <w:p>
      <w:r>
        <w:t>Dater la survenance de l’incapacité de travail durable, le cas échéant, indiquer l'évolution de son taux.</w:t>
      </w:r>
    </w:p>
    <w:p>
      <w:r>
        <w:rPr>
          <w:b/>
        </w:rPr>
        <w:t>E. 27</w:t>
      </w:r>
    </w:p>
    <w:p>
      <w:r>
        <w:t>Évaluer l'exigibilité, en pourcent, d'une activité lucrative adaptée, indiquer depuis quand une telle activité est exigible et quel est le domaine d'activité adapté.</w:t>
      </w:r>
    </w:p>
    <w:p>
      <w:r>
        <w:rPr>
          <w:b/>
        </w:rPr>
        <w:t>E. 28</w:t>
      </w:r>
    </w:p>
    <w:p>
      <w:r>
        <w:t>Dire s'il y a une diminution de rendement et la chiffrer.</w:t>
      </w:r>
    </w:p>
    <w:p>
      <w:r>
        <w:rPr>
          <w:b/>
        </w:rPr>
        <w:t>E. 29</w:t>
      </w:r>
    </w:p>
    <w:p>
      <w:r>
        <w:t>En cas de baisse de rendement, préciser si celle-ci a été prise en compte dans la capacité de travail ou si elle vient en sus.</w:t>
      </w:r>
    </w:p>
    <w:p>
      <w:r>
        <w:rPr>
          <w:b/>
        </w:rPr>
        <w:t>E. 30</w:t>
      </w:r>
    </w:p>
    <w:p>
      <w:r>
        <w:t>Évaluer la possibilité d'améliorer la capacité de travail par des mesures médicales. Indiquer quelles seraient les propositions thérapeutiques et leur influence sur la capacité de travail.</w:t>
      </w:r>
    </w:p>
    <w:p>
      <w:r>
        <w:rPr>
          <w:b/>
        </w:rPr>
        <w:t>E. 31</w:t>
      </w:r>
    </w:p>
    <w:p>
      <w:r>
        <w:t>a) Êtes-vous d'accord avec l’appréciation du Prof. I______ (rapports des 25 juin 2021 et 9 décembre 2022) ? Prière de motiver votre réponse. b) Êtes-vous d'accord avec les appréciations du SMR (avis des 28 août 2018 et 30 avril 2020) ? Indiquer pour quelles raisons cet avis est confirmé ou écarté.</w:t>
      </w:r>
    </w:p>
    <w:p>
      <w:r>
        <w:rPr>
          <w:b/>
        </w:rPr>
        <w:t>E. 32</w:t>
      </w:r>
    </w:p>
    <w:p>
      <w:r>
        <w:t>Formuler un pronostic global.</w:t>
      </w:r>
    </w:p>
    <w:p>
      <w:r>
        <w:rPr>
          <w:b/>
        </w:rPr>
        <w:t>E. 33</w:t>
      </w:r>
    </w:p>
    <w:p>
      <w:r>
        <w:t>Toute remarque utile et proposition. 5. Invite l’expert à déposer dans les trois mois dès réception de la mission d’expertise un rapport en trois exemplaires à la chambre de céans. 6. Réserve le fond ainsi que le sort des frais jusqu’à droit jugé au fond.</w:t>
      </w:r>
    </w:p>
    <w:p>
      <w:r>
        <w:t>La greffière</w:t>
      </w:r>
    </w:p>
    <w:p>
      <w:r>
        <w:t>Isabelle CASTILLO</w:t>
      </w:r>
    </w:p>
    <w:p>
      <w:r>
        <w:t>La présidente</w:t>
      </w:r>
    </w:p>
    <w:p>
      <w:r>
        <w:t>Catherine TAPPONNIER</w:t>
      </w:r>
    </w:p>
    <w:p>
      <w:r>
        <w:t>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