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ATAS/414/2008 vom 9. April 2008</w:t>
      </w:r>
    </w:p>
    <w:p>
      <w:r>
        <w:t>GE Cour de justice, 2008-04-09, FR</w:t>
      </w:r>
    </w:p>
    <w:p>
      <w:r>
        <w:rPr>
          <w:b/>
        </w:rPr>
        <w:t xml:space="preserve">Quelle: </w:t>
      </w:r>
      <w:r>
        <w:t>https://mcp.opencaselaw.ch/entscheid/ge_gerichte_ATAS_414_2008</w:t>
      </w:r>
    </w:p>
    <w:p>
      <w:r>
        <w:t>FR: GE_GERICHTE ATAS/414/2008 du 9 avril 2008</w:t>
      </w:r>
    </w:p>
    <w:p>
      <w:r>
        <w:t>IT: GE_GERICHTE ATAS/414/2008 del 9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délais prévus par la loi, le recours est recevable (art. 56 et 60 LPGA).</w:t>
      </w:r>
    </w:p>
    <w:p>
      <w:r>
        <w:rPr>
          <w:b/>
        </w:rPr>
        <w:t>E. 4</w:t>
      </w:r>
    </w:p>
    <w:p>
      <w:r>
        <w:t>L'objet du litige porte sur le droit de la recourante à une rente de l'assurance- invalidité et en particulier sur le degré de son invalidité.</w:t>
      </w:r>
    </w:p>
    <w:p>
      <w:r>
        <w:t>A/4265/2007 - 5/11 -</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Conformément à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date de l'entrée en vigueur de la 4ème révision de l'AI,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A/4265/2007 - 6/11 -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ATFA du 29 octobre 2003, I 321/03 consid. 3.1).</w:t>
      </w:r>
    </w:p>
    <w:p>
      <w:r>
        <w:t>A/4265/2007 - 7/11 - Enfin,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consid. 4.1, 2001 IV n° 10 p. 27; ATFA non publié du 11 janvier 2007, I 778/05, consid. 6.1).</w:t>
      </w:r>
    </w:p>
    <w:p>
      <w:r>
        <w:rPr>
          <w:b/>
        </w:rPr>
        <w:t>E. 7</w:t>
      </w:r>
    </w:p>
    <w:p>
      <w:r>
        <w:t>En l'espèce, il n'est pas contesté que la recourante souffre d'une atteinte à la santé sous forme de lombalgies chroniques sur discopathie L4-L5 avec protrusion discale postéro-médiane depuis 2002, ainsi que d'un état anxio-dépressif. Est litigieuse en revanche la question de l'importance de la répercussion de l'atteinte à la santé sur la capacité de travail, que la recourante estime être de 50 %. Selon les Drs L__________ et M__________, la recourante présente des limitations fonctionnelles qui l'empêchent d'exercer sa profession actuelle à plus de 50 %. En revanche, dans une activité adaptée ne nécessitant pas d'efforts physiques, la capacité de travail est de 100 %. Le Dr N__________, dans son rapport du 28 novembre 2006, partage cet avis, expliquant que les lombalgies communes et l'état dépressivo-anxieux n'entraînent pas d'incapacité de travail. Ainsi, du point de vue somatique, le Tribunal de céans constate que la capacité de travail est entière dans une activité respectant les limitations fonctionnelles décrites par les médecins. Sur le plan psychique, le Dr P__________ a conclu dans son expertise que l'épisode dépressif récurrent, léger actuellement, sans syndrome somatique, le trouble panique et les traits de personnalité dépendante n'entraînent pas de limitation fonctionnelle sur le plan psychiatrique. Il a expliqué de façon convaincante que les troubles ne sont pas sévères, qu'ils n'occasionnent pas d'agoraphobie, car les difficultés de la recourante à sortir de chez elle sont principalement liées à la crainte que l'on puisse la voir trembler. La recourante ne présente pas de ralentissement psychomoteur, ni de fatigabilité au cours de l'entretien, ni de troubles du cours ou du contenu de la pensée et n'a pas eu de difficulté particulière pour se rendre aux</w:t>
      </w:r>
    </w:p>
    <w:p>
      <w:r>
        <w:t>A/4265/2007 - 8/11 - entretiens. L'expert a conclu à une capacité de travail entière du point de vue psychiatrique. Le Tribunal de céans relève que l'expertise du Dr P__________ remplit tous les critères requis par la jurisprudence pour se voir attribuer pleine valeur probante, de sorte qu'il n'a aucun motif de s'en écarter. Force est de conclure que la capacité de travail de la recourante est entière dans une activité adaptée.</w:t>
      </w:r>
    </w:p>
    <w:p>
      <w:r>
        <w:rPr>
          <w:b/>
        </w:rPr>
        <w:t>E. 8</w:t>
      </w:r>
    </w:p>
    <w:p>
      <w:r>
        <w:t>Reste à déterminer quel est le degré d'invalidité de la recourante.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224 consid. 4.3.1).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lorsqu'avant d'être reconnu définitivement incapable de travailler, il rencontrait des difficultés professionnelles en raison d'une aggravation progressive de son état de santé (RCC 1985 p. 662 consid. 3a) ou percevait une rémunération inférieure aux normes de salaire usuelles (sur la question, voir ATFA non publié du 17 octobre 2003, B 80/01,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w:t>
      </w:r>
    </w:p>
    <w:p>
      <w:r>
        <w:t>A/4265/2007 - 9/11 -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9</w:t>
      </w:r>
    </w:p>
    <w:p>
      <w:r>
        <w:t>En l'occurrence, pour le revenu sans invalidité, l'intimé s'est fondé sur les ESS tableau TA7, secteur 37 niveau 4, activités dans l'hôtellerie (cf. Enquête suisse sur la structure des salaires - ESS - 2004). Il y a lieu de relever que la recourante s'est inscrite au chômage le 12 septembre 2002, avec un gain assuré de 3'200 fr., qu'elle a travaillé dans un EMS dans le cadre d'un emploi temporaire et qu'elle n'a pas repris d'activité lucrative depuis lors. En conséquence, c'est à juste titre que l'intimé s'est référé aux données statistiques et plus particulièrement au tableau TA7 et a retenu un gain sans invalidité de 3'637 fr. par mois, porté à 3'782 fr. pour une durée hebdomadaire de travail de 41.6 heures, soit un gain annuel de 45'390 fr. Concernant le revenu d'invalide, dès lors que la recourante n'a pas repris d'activité lucrative, c'est à bon droit que l'intimé s'est référé aux données statistiques. Compte tenu de l'activité de substitution dans un emploi adapté, à savoir un travail léger ne nécessitant pas d'efforts physiques et favorisant l'alternance des positions, le salaire de référence est celui auquel peuvent prétendre les femmes effectuant des activités simples et répétitives dans le secteur privé (ESS 2004, TA1, p. 53, niveau de qualification 4). On peut à cet égard citer par exemple des tâches simples de vérification (voir notamment ATFA non publiés du 30 novembre 2006, I 805/05, consid. 5.3, du 2 février 2005, I 394/04, consid. 3.2, du 11 juillet 2005, I 531/04, consid. 4.3 et les références). Ce salaire s'élève en 2004 à 46'716 fr. (3'893 x 12) part au 13ème salaire comprise. De plus, puisque les salaires bruts standardisés sont fondés sur un horaire de travail de quarante heures (ATF 129 V 410 consid. 3.1.2), le revenu statistique doit être adapté à l'horaire de travail en 2004 qui est de 41.6 heures par semaine (OFS, durée normale de travail dans les entreprises), soit à 48'585 fr. (46'716 x 41.7 : 40). Compte tenu d'un abattement - plutôt généreux - de 10 % retenu par l'intimé, le revenu annuel d'invalide s'établit à 43'726 fr. Après comparaison des gains, il en résulte un degré d'invalidité de 3,7 %, arrondi à 4 %, insuffisant pour ouvrir droit à une rente de l'assurance-invalidité.</w:t>
      </w:r>
    </w:p>
    <w:p>
      <w:r>
        <w:t>A/4265/2007 - 10/11 - Enfin, la recourante ne peut prétendre à des mesures de réadaptation, car le seuil minimum fixé par la jurisprudence pour ouvrir droit à une mesure de reclassement est une diminution de la capacité de gain de 20 % environ (ATF 124 V 110 consid. 2b et les références).</w:t>
      </w:r>
    </w:p>
    <w:p>
      <w:r>
        <w:rPr>
          <w:b/>
        </w:rPr>
        <w:t>E. 10</w:t>
      </w:r>
    </w:p>
    <w:p>
      <w:r>
        <w:t>Mal fondé, le recours sera rejeté. Conformément à l'art. 69 al. 1bis LAI, en vigueur depuis le 1er juillet 2006, la recourante sera condamnée au paiement d'un émolument de 200 fr.</w:t>
      </w:r>
    </w:p>
    <w:p>
      <w:r>
        <w:t>***</w:t>
      </w:r>
    </w:p>
    <w:p>
      <w:r>
        <w:t>A/4265/2007 - 11/11 -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