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ATAS/413/2024 vom 6. Juni 2024</w:t>
      </w:r>
    </w:p>
    <w:p>
      <w:r>
        <w:t>GE Cour de justice, 2024-06-06, FR</w:t>
      </w:r>
    </w:p>
    <w:p>
      <w:r>
        <w:rPr>
          <w:b/>
        </w:rPr>
        <w:t xml:space="preserve">Quelle: </w:t>
      </w:r>
      <w:r>
        <w:t>https://mcp.opencaselaw.ch/entscheid/ge_gerichte_ATAS_413_2024</w:t>
      </w:r>
    </w:p>
    <w:p>
      <w:r>
        <w:t>FR: GE_GERICHTE ATAS/413/2024 du 6 juin 2024</w:t>
      </w:r>
    </w:p>
    <w:p>
      <w:r>
        <w:t>IT: GE_GERICHTE ATAS/413/2024 del 6 giugno 2024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Qu’interjeté dans la forme et le délai prévus par la loi (art. 38 al. 4 let. b LPGA et art. 89C let. b de la loi sur la procédure administrative du 12 septembre 1985 [LPA - E 5 10]), le recours est recevable ; Que par détermination du 6 mai 2024, AXA a conclu à l’octroi d’une IPAI de 10% correspondant à un montant de CHF 14'820.-, en lieu et place du taux de 5% retenu dans la décision querellée ; Que la détermination d’AXA vaut admission partielle du recours, ce dont il convient de prendre acte ;</w:t>
      </w:r>
    </w:p>
    <w:p>
      <w:r>
        <w:t>A/915/2024 - 3/4 - Que l'assuré a confirmé, par détermination de sa mandataire datée du 29 mai 2024, qu’il avait ainsi obtenu satisfaction, sous réserve que l’intimée soit condamnée aux frais et dépens ; Que la solution proposée, à teneur des pièces du dossier, est conforme au droit ; Qu'il se justifie, dès lors, d'admettre partiellement le recours et de réformer la décision sur opposition de l’intimée du 15 février 2024 en ce sens que l’assuré a droit à une IPAI de 10%, correspondant à un montant de CHF 14'820.-, suite à l’accident du 9 juillet 2021 ; Que le recourant, obtenant partiellement gain de cause et étant représenté par une avocate, a droit à des dépens, qui seront fixés à CHF 1'500.- ; Que pour le surplus, la procédure est gratuite.</w:t>
      </w:r>
    </w:p>
    <w:p>
      <w:r>
        <w:t>A/915/2024 - 4/4 -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