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ATAS/413/2022 vom 6. Mai 2022</w:t>
      </w:r>
    </w:p>
    <w:p>
      <w:r>
        <w:t>GE Cour de justice, 2022-05-06, FR</w:t>
      </w:r>
    </w:p>
    <w:p>
      <w:r>
        <w:rPr>
          <w:b/>
        </w:rPr>
        <w:t xml:space="preserve">Quelle: </w:t>
      </w:r>
      <w:r>
        <w:t>https://mcp.opencaselaw.ch/entscheid/ge_gerichte_ATAS_413_2022</w:t>
      </w:r>
    </w:p>
    <w:p>
      <w:r>
        <w:t>FR: GE_GERICHTE ATAS/413/2022 du 6 mai 2022</w:t>
      </w:r>
    </w:p>
    <w:p>
      <w:r>
        <w:t>IT: GE_GERICHTE ATAS/413/2022 del 6 maggio 2022</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w:t>
      </w:r>
    </w:p>
    <w:p>
      <w:r>
        <w:t>S'agissant des prestations dues par l'assurance-invalidité, le Tribunal fédéral a revu et modifié en profondeur, dans l’ATF 141 V 281, le schéma d'évaluation de la capacité de travail, respectivement de l'incapacité de travail, en cas de syndrome douloureux somatoforme et d'affections psychosomatiques comparables. Il a</w:t>
      </w:r>
    </w:p>
    <w:p>
      <w:r>
        <w:t>A/2787/2021 - 9/12 -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Il s'agit des indicateurs suivants: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t>Il sied d'appliquer ces principes par analogie également en matière d'assurance privée.</w:t>
      </w:r>
    </w:p>
    <w:p>
      <w:r>
        <w:t>A/2787/2021 - 10/12 -</w:t>
      </w:r>
    </w:p>
    <w:p>
      <w:r>
        <w:rPr>
          <w:b/>
        </w:rPr>
        <w:t>E. 3</w:t>
      </w:r>
    </w:p>
    <w:p>
      <w:r>
        <w:t>En l'occurrence, la Chambre de céans n'est pas convaincue par le volet psychiatrique de l'expertise du CEMed. En effet, l'expert psychiatre n'a pas pris en considération la gravité fonctionnelle des douleurs, dont il peut être admis qu'elles sont sans substrat objectif sur le plan somatique, pour apprécier la valeur invalidante de la fibromyalgie respectivement du trouble somatoforme douloureux dans le cadre de l'évaluation selon la grille d'analyse élaborée par le Tribunal fédéral. Il n'a pas non plus donné des explications sur l'étiologie des douleurs somatoformes et sur les ressources de la recourante pour les surmonter. Aussi s'avère-t-il nécessaire de soumettre la recourante à une expertise psychiatrique judiciaire.</w:t>
      </w:r>
    </w:p>
    <w:p>
      <w:r>
        <w:rPr>
          <w:b/>
        </w:rPr>
        <w:t>E. 4</w:t>
      </w:r>
    </w:p>
    <w:p>
      <w:r>
        <w:t>Diagnostics sur le plan psychiatrique dans une classification internationale reconnue avec mention de la date de leur apparition</w:t>
      </w:r>
    </w:p>
    <w:p>
      <w:r>
        <w:rPr>
          <w:b/>
        </w:rPr>
        <w:t>E. 5</w:t>
      </w:r>
    </w:p>
    <w:p>
      <w:r>
        <w:t>Quel est le degré de gravité des diagnostics, en particulier le cas échéant du trouble somatoforme douloureux persistant respectivement de la fibromyalgie?</w:t>
      </w:r>
    </w:p>
    <w:p>
      <w:r>
        <w:rPr>
          <w:b/>
        </w:rPr>
        <w:t>E. 6</w:t>
      </w:r>
    </w:p>
    <w:p>
      <w:r>
        <w:t>Y-a-t-il une exagération des symptômes ou une constellation semblable ?</w:t>
      </w:r>
    </w:p>
    <w:p>
      <w:r>
        <w:rPr>
          <w:b/>
        </w:rPr>
        <w:t>E. 7</w:t>
      </w:r>
    </w:p>
    <w:p>
      <w:r>
        <w:t>Quelles sont les limitations fonctionnelles liées aux diagnostics sur le plan psychiatrique, y compris aux douleurs sans substrat organique objectivable?</w:t>
      </w:r>
    </w:p>
    <w:p>
      <w:r>
        <w:rPr>
          <w:b/>
        </w:rPr>
        <w:t>E. 8</w:t>
      </w:r>
    </w:p>
    <w:p>
      <w:r>
        <w:t>Les limitations sont-elles uniformes dans tous les domaines (professionnel et privé) ?</w:t>
      </w:r>
    </w:p>
    <w:p>
      <w:r>
        <w:rPr>
          <w:b/>
        </w:rPr>
        <w:t>E. 9</w:t>
      </w:r>
    </w:p>
    <w:p>
      <w:r>
        <w:t>Le tableau clinique est-il cohérent, compte tenu des diagnostics retenus ?</w:t>
      </w:r>
    </w:p>
    <w:p>
      <w:r>
        <w:rPr>
          <w:b/>
        </w:rPr>
        <w:t>E. 10</w:t>
      </w:r>
    </w:p>
    <w:p>
      <w:r>
        <w:t>L'expertisée présente-t-elle un trouble ou des traits de la personnalité?</w:t>
      </w:r>
    </w:p>
    <w:p>
      <w:r>
        <w:rPr>
          <w:b/>
        </w:rPr>
        <w:t>E. 11</w:t>
      </w:r>
    </w:p>
    <w:p>
      <w:r>
        <w:t>Le traitement est-il adéquat au niveau psychiatrique?</w:t>
      </w:r>
    </w:p>
    <w:p>
      <w:r>
        <w:t>A/2787/2021 - 12/12 -</w:t>
      </w:r>
    </w:p>
    <w:p>
      <w:r>
        <w:rPr>
          <w:b/>
        </w:rPr>
        <w:t>E. 12</w:t>
      </w:r>
    </w:p>
    <w:p>
      <w:r>
        <w:t>Quelle est la compliance?</w:t>
      </w:r>
    </w:p>
    <w:p>
      <w:r>
        <w:rPr>
          <w:b/>
        </w:rPr>
        <w:t>E. 13</w:t>
      </w:r>
    </w:p>
    <w:p>
      <w:r>
        <w:t>Quel est son environnement social?</w:t>
      </w:r>
    </w:p>
    <w:p>
      <w:r>
        <w:rPr>
          <w:b/>
        </w:rPr>
        <w:t>E. 14</w:t>
      </w:r>
    </w:p>
    <w:p>
      <w:r>
        <w:t>Quelle est la capacité de travail dans une activité adaptée (dans un environnement pas trop bruyant, sans travaux lourds ni positions penchées en avant ni transferts de personnes), compte tenu de la gravité des diagnostics sur le plan psychiatrique, en particulier des douleurs liées à l'éventuel trouble somatoforme douloureux persistant respectivement à la fibromyalgie, des comorbidités somatiques, de la personnalité et des ressources de l'expertisée? En d'autres termes, dans quelle mesure l'expertisée est-elle capable de surmonter les douleurs sans substrat organique objectif pour exercer une activité professionnelle adaptée et le cas échéant à quel taux?</w:t>
      </w:r>
    </w:p>
    <w:p>
      <w:r>
        <w:rPr>
          <w:b/>
        </w:rPr>
        <w:t>E. 15</w:t>
      </w:r>
    </w:p>
    <w:p>
      <w:r>
        <w:t>Le rendement est-il diminué?</w:t>
      </w:r>
    </w:p>
    <w:p>
      <w:r>
        <w:rPr>
          <w:b/>
        </w:rPr>
        <w:t>E. 16</w:t>
      </w:r>
    </w:p>
    <w:p>
      <w:r>
        <w:t>Depuis quelle date sa capacité de travail est-elle réduite et quelle a été l'évolution de sa capacité de travail depuis l'apparition des troubles diagnostiqués ?</w:t>
      </w:r>
    </w:p>
    <w:p>
      <w:r>
        <w:rPr>
          <w:b/>
        </w:rPr>
        <w:t>E. 17</w:t>
      </w:r>
    </w:p>
    <w:p>
      <w:r>
        <w:t>Partagez-vous les conclusions de l'expertise du CEMed? Dans la négative, pourquoi vous en écartez-vous?</w:t>
      </w:r>
    </w:p>
    <w:p>
      <w:r>
        <w:rPr>
          <w:b/>
        </w:rPr>
        <w:t>E. 18</w:t>
      </w:r>
    </w:p>
    <w:p>
      <w:r>
        <w:t>Quel est votre pronostic? E. Invite l’expert à déposer, dans un délai de trois mois, son rapport en trois exemplaires auprès de la chambre de céans. F. Réserve le fond.</w:t>
      </w:r>
    </w:p>
    <w:p>
      <w:r>
        <w:t>La greffière</w:t>
      </w:r>
    </w:p>
    <w:p>
      <w:r>
        <w:t>Marguerite MFEGUE AYMON</w:t>
      </w:r>
    </w:p>
    <w:p>
      <w:r>
        <w:t>La présidente suppléante</w:t>
      </w:r>
    </w:p>
    <w:p>
      <w:r>
        <w:t>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