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ATAS/412/2025 vom 2. Juni 2025</w:t>
      </w:r>
    </w:p>
    <w:p>
      <w:r>
        <w:t>GE Cour de justice, 2025-06-02, FR</w:t>
      </w:r>
    </w:p>
    <w:p>
      <w:r>
        <w:rPr>
          <w:b/>
        </w:rPr>
        <w:t xml:space="preserve">Quelle: </w:t>
      </w:r>
      <w:r>
        <w:t>https://mcp.opencaselaw.ch/entscheid/ge_gerichte_ATAS_412_2025</w:t>
      </w:r>
    </w:p>
    <w:p>
      <w:r>
        <w:t>FR: GE_GERICHTE ATAS/412/2025 du 2 juin 2025</w:t>
      </w:r>
    </w:p>
    <w:p>
      <w:r>
        <w:t>IT: GE_GERICHTE ATAS/412/2025 del 2 giugno 2025</w:t>
      </w:r>
    </w:p>
    <w:p>
      <w:pPr>
        <w:pStyle w:val="Heading2"/>
      </w:pPr>
      <w:r>
        <w:t>Erwägungen</w:t>
      </w:r>
    </w:p>
    <w:p>
      <w:r>
        <w:rPr>
          <w:b/>
        </w:rPr>
        <w:t>E. 1.1</w:t>
      </w:r>
    </w:p>
    <w:p>
      <w:r>
        <w:t>Conformément à l'art. 134 al. 1 let. a ch. 2 de la loi sur l'organisation judiciaire du 26 septembre 2010 (LOJ - E 2 05), la chambre des assurances sociales de la</w:t>
      </w:r>
    </w:p>
    <w:p>
      <w:r>
        <w:t>A/1355/2024 - 9/24 -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60 LPGA ; art. 62 al. 1 de la loi sur la procédure administrative du 12 septembre 1985 - LPA - E 5 10). Les délais en jours ou en mois fixés par la loi ou par l’autorité ne courent pas du 7e jour avant Pâques au 7e jour après Pâques (art. 60 al. 2 et 38 al. 4 let. a LPGA). En l'espèce, la décision est datée du 7 mars 2024 et la recourante a interjeté son recours le 23 avril 2024. La décision ayant cependant été notifiée par pli simple, l'intimé n'a pas été en mesure de prouver le point de départ du délai de recours. Dès lors que l'intimé a la charge de la preuve de la notification et n'est pas en mesure de l'établir, étant relevé qu'il ne conteste du reste pas le respect du délai de recours, il doit être retenu que le recours a été interjeté en temps utile.</w:t>
      </w:r>
    </w:p>
    <w:p>
      <w:r>
        <w:rPr>
          <w:b/>
        </w:rPr>
        <w:t>E. 1.3</w:t>
      </w:r>
    </w:p>
    <w:p>
      <w:r>
        <w:t>Par ailleurs interjeté dans la forme prévue par la loi (art. 61 let. b LPGA et 89B LPA), le recours est recevable.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2.1.1</w:t>
      </w:r>
    </w:p>
    <w:p>
      <w:r>
        <w:t>; 130 V 396 consid. 5.3 et 6). 6.1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t>A/1355/2024 - 14/24 -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6.2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5.2.2 et la référence). 6.3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 6.4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w:t>
      </w:r>
    </w:p>
    <w:p>
      <w:r>
        <w:t>A/1355/2024 - 15/24 -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 catégorie « Degré de gravité fonctionnel » (ATF 141 V 281 consid. 4.3) : A. complexe « Atteinte à la santé » (consid. 4.3.1) : expression des éléments pertinents pour le diagnostic (consid. 4.3.1.1), succès du traitement et de la réadaptation ou résistance à cet égard (consid. 4.3.1.2), comorbidités (consid. 4.3.1.3) ; B. complexe « Personnalité » (diagnostic de la personnalité, ressources personnelles; consid. 4.3.2) ; C. complexe « Contexte social » (consid. 4.3.3) ; - catégorie « Cohérence » (aspects du comportement; consid. 4.4) :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6.5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7. 7.1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w:t>
      </w:r>
    </w:p>
    <w:p>
      <w:r>
        <w:t>A/1355/2024 - 16/24 - données médicales constituent un élément utile pour déterminer quels travaux on peut encore, raisonnablement, exiger de l’assuré (ATF 125 V 256 consid. 4 et les références). 7.2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7.3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 7.4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A/1355/2024 - 17/24 -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7.5 Sans remettre en cause le principe de la libre appréciation des preuves, le Tribunal fédéral des assurances a posé des lignes directrices en ce qui concerne la manière d'apprécier certains types d'expertises ou de rapports médicaux. 7.5.1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7.5.2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7.5.3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w:t>
      </w:r>
    </w:p>
    <w:p>
      <w:r>
        <w:t>A/1355/2024 - 18/24 - l'un ou sur l'autre de ces avis et il y a lieu de mettre en œuvre une expertise par un médecin indépendant selon la procédure de l'art. 44 LPGA ou une expertise judiciaire (ATF 139 V 225 consid. 5.2 et les références ; 135 V 465 consid. 4). 7.5.4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7.5.5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t>A/1355/2024 - 19/24 - 7.7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7.8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8. 8.1 En l'espèce, l'intimé a retenu que, dès le 5 septembre 2022, la recourante avait recouvré une pleine capacité de travail dans une activité adaptée et a mis fin à la rente à compter du 1er janvier 2023, en se fondant sur l'avis du SMR du 3 novembre 2022. La recourante affirme que l'intimé n'a pas assez instruit son dossier, vu l'échec des mesures de réadaptation, les douleurs dues aux hernies discales qui l'affectaient et le fait qu'elle avait consulté un psychiatre. 8.2 Dans son rapport du 3 novembre 2022, le SMR a retenu comme atteintes principales incapacitantes une lombo-radiculalgie S1 droite non déficitaire et une hernie discale L5-S1 paramédiane droite persistante avec dégénérescence du disque en cours. Il a considéré qu'en raison de ce diagnostic, la recourante était totalement incapable de travailler dans son activité habituelle d'aide-soignante dès novembre 2019. Il a cependant estimé que la situation médicale de la recourante</w:t>
      </w:r>
    </w:p>
    <w:p>
      <w:r>
        <w:t>A/1355/2024 - 20/24 - était stabilisée, vu l'absence d'indication opératoire et l'arrêt de l'antalgie par Tramal, et qu'en conséquence, dès le 5 septembre 2022, date du dernier rapport médical de la médecin traitante, la capacité de travail était pleine dans une activité adaptée aux limitations fonctionnelles, soit le fait de privilégier une activité avec possibilité d'alterner la position assise et debout selon le désir de l'assurée, mais minimum chaque heure, d'éviter la flexion, la rotation et l'inflexion latérale du tronc, le port de charge de plus de 2.5 kg de manière répétitive, de 5 kg de manière occasionnelle, l'utilisation des membres supérieurs au-dessus de la tête, d'éviter les marches de plus de quinze minutes, en terrain irrégulier, de monter et descendre une échelle, un échafaudage, les escaliers. Le rapport de la médecin traitante sur lequel s'est basé le SMR pour retenir une pleine capacité de travail dans une activité adaptée est le dernier rapport de la Dre B______ figurant au dossier, du 5 septembre 2022. Dans celui-ci, la médecin traitante indique que l'évolution est lentement meilleure (le caractère lent de l'évolution étant mis en évidence) avec baisse des dysthésies, mais toujours des petites lancées, et la disparition du boitement, la patiente gardant une raideur à la mobilisation. La patiente ne prenait plus d'antalgique régulièrement et avait stoppé le Tramal complètement depuis fin juillet 2022. Tout en soulignant cette amélioration, elle indique que sa patiente ne pourra plus reprendre d'activité comme auxiliaire de santé, la hernie discale n'étant pas encore guérie et sa patiente étant vouée à rester vulnérable. La médecin ne se prononce pas directement sur la capacité de travail de la recourante dans une activité adaptée. Elle indique néanmoins qu'elle ne pense pas qu'un examen médical complémentaire sera nécessaire pour évaluer les conséquences de l'atteinte à la santé sur la capacité de travail, vu l'amélioration, mais qu'il faut tenir compte des restrictions, soit du fait que l'assurée ne peut pas se baisser en avant, ni rester assise après une heure, ni porter plus de 5 kg et que la rotation du rachis est exclue. Avant cela, le 30 juin 2022, la Dre B______ avait indiqué que sa patiente pourrait peut-être exercer une activité professionnelle adaptée à son état de santé. Ainsi, le rapport du SMR rejoint pour l'essentiel celui de la médecin traitante de la recourante, de sorte que rien n'apparaît a priori le mettre en doute. 8.3 Néanmoins, il ressort du dossier de l'intimé que, malgré la teneur de son rapport médical du 5 septembre 2022, la Dre B______ a continué à émettre des certificats d'incapacité de travail après celui-ci. Ainsi, alors qu'en juin 2022, la Dre B______ avait indiqué avoir reconnu une capacité de travail de 20% « pour des raisons administratives exigées par le chômage » (depuis le 17 mars 2022 selon le certificat médical du 15 mars 2022), il ressort de la note de travail du 1er novembre 2022 que la recourante avait recouvré une capacité de travail de 30% à compter du 1er octobre 2022, soit toujours 70% d'incapacité de travail. L'OAI a ensuite été informé que lors du rendez-vous médical du 5 avril 2023, la médecin traitante avait maintenu une incapacité de travail de 50%. Au téléphone avec l'intimé, cette dernière a confirmé cette appréciation en indiquant que la</w:t>
      </w:r>
    </w:p>
    <w:p>
      <w:r>
        <w:t>A/1355/2024 - 21/24 - capacité de travail était susceptible de s'améliorer après deux ou trois mois. Cependant, le 15 septembre 2023, l'assurée a informé l'OAI être à nouveau en incapacité totale de travailler. En raison de ces éléments, l'intimé a retenu qu'une mesure d'orientation afin de vérifier, entre autre, si une activité d'agente de numérisation serait toujours adaptée, n'était pas pertinente car, au vu de l'incapacité totale de travailler, elle serait vraisemblablement vouée à l'échec. Ce nonobstant, l'intimé s'est tout de même fondé sur le rapport du SMR du 3 novembre 2022 pour retenir que la recourante avait une capacité de travail entière pour exercer dans une activité adaptée lors du prononcé de la décision litigieuse. Or, tout comme l'intimé a conclu de ces éléments que la mesure d'orientation serait vouée à l'échec, il aurait dû constater qu'ils contredisaient l'amélioration annoncée par la médecin traitante sur laquelle se fondait l'avis du SMR du 3 novembre 2022, de sorte qu'il ne pouvait se fonder sur ce dernier pour prononcer la décision litigieuse. L'intimé aurait par conséquent dû poursuivre l'instruction pour établir l'évolution de la situation médicale (capacité de travail dans une activité adaptée et limitations fonctionnelles) de la recourante par rapport aux diagnostics de lombo-radiculalgie droite non déficitaire et hernie discale L5-S1 paramédiane droite persistante avec dégénérescence du disque en cours. 8.4 Par ailleurs, le 15 septembre 2023, l'assurée, qui a annoncé se trouver à nouveau en état d'incapacité totale de travailler et non plus à 50%, a informé l'intimé de l'existence de douleurs aux cervicales qui devaient être investiguées. Il ressort du rapport d'IRM du 9 octobre 2024 produit dans la procédure devant la chambre de céans que ces douleurs sont possiblement à mettre en lien avec un nouveau diagnostic. En effet, ce rapport conclut à l'existence, au niveau C5-C6, d'une hernie discale de localisation stratégique foraminale droite et au contact avec la racine C6 à droite ainsi que de remaniements dégénératifs débutants étagés et à la présence de plusieurs lésions intrathyroïdiennes plus marquées à gauche avec un diamètre maximal de 24 mm, partiellement investiguée. Dans son avis médical du 7 mars 2024, le SMR a considéré que ces nouveaux éléments avaient rendu plausible une aggravation de l'état de santé de la recourante, soulignant toutefois que ces atteintes étaient postérieures à la décision litigieuse et partant non pertinentes. Cependant, eu égard au fait que l'assurée avait informé l'intimé, avant le prononcé de la décision litigieuse, des douleurs aux cervicales et des investigations à venir, il ne peut être retenu que ces éléments sont postérieurs à ladite décision. L'intimé aurait dès lors également dû instruire ce point avant de prononcer la décision litigieuse, ce qu'il n'a pas fait en se fondant sur l'avis du SMR du 2 novembre 2022. 8.5 Finalement, l'OAI a été informé à plusieurs reprise de la mise en place d'un suivi de la recourante sur le plan psychique. Ainsi, selon les notes de 1er entretien</w:t>
      </w:r>
    </w:p>
    <w:p>
      <w:r>
        <w:t>A/1355/2024 - 22/24 - de réadaptation professionnelle du 2 décembre 2022, la recourante souffrait d'insomnies en lien avec un stress psychologique lié à sa situation financière et professionnelle et une peur de l'avenir, de sorte que la médecin traitante l'encourageait à consulter un psychologue. En mars 2023, la médecin traitante a annoncé à l'intimé au téléphone que des démarches étaient en cours pour mettre en place un soutien sur le plan psychique, au vu de la fragilité de la patiente. Selon la note de travail du 7 juin 2023, l'assurée a ensuite informé l'intimé avoir commencé un suivi chez un psychologue, en lien avec des angoisses par rapport à la situation et souffrir d'insomnies. Finalement, le 15 septembre 2023, l'assurée a confirmé à l'intimé avoir commencé un suivi psychiatrique avec médication. L'intimé n'a pas du tout instruit ce point, postérieur à l'avis du SMR du 3 novembre 2022 sur lequel il s'est fondé, avant de rendre sa décision, ni s'agissant du diagnostic, ni s'agissant de la capacité de travail et des limitations fonctionnelles. Dans la présente procédure, la recourante a produit un questionnaire médical rempli par son psychiatre traitant, à teneur duquel le diagnostic est un trouble anxieux et dépressif mixte (F41.2), pour lequel la recourante était suivie au rythme d'environ deux fois par mois et était traitée par Cipralex, la dose ayant été augmentée de 10 mg à 20 mg en décembre 2023. Ce médecin souligne une fatigue en lien avec un trouble du sommeil, une baisse de sa concentration et de mémorisation, une baisse d'estime d'elle-même, une grande anxiété pour l'avenir et une vulnérabilité à toute forme de stress. Ce rapport a été soumis au SMR, qui a conclu à l'absence d'atteinte psychiatrique incapacitante, 1) la catégorie de trouble anxieux et dépressif mixte étant utilisée quand le sujet présentait à la fois des symptômes anxieux et des symptômes dépressifs, sans que l'intensité des uns ou des autres soit suffisante pour justifier un diagnostic séparé, 2) la fréquence des consultations restant faible, 3) le traitement antidépresseur n'ayant pas été modifié depuis le début de la prise en charge psychiatrique et 4) la recourante n'ayant pas été hospitalisée. Si ces éléments donnent à penser que les atteintes de la recourante au niveau psychique ne revêtent pas la gravité les conduisant à être incapacitants au sens de la jurisprudence, il reviendra néanmoins à l'intimé d'instruire également ce point pour s'en assurer et en vue d'obtenir une mise à jour du dossier sur le plan psychique, afin d'être en mesure d'opérer une évaluation globale de la situation médicale de la recourante. 8.6 Au vu de ce qui précède, l'intimé n'a pas correctement établi la situation médicale de la recourante avant le prononcé de la décision litigieuse, ce qui conduit à l'annulation de celle-ci et au renvoi de la cause à celui-ci, pour instruction médicale complémentaire sur les points susmentionnés. Pour le reste, au vu du renvoi de la cause à l'intimé, il ne se justifie pas de mettre en œuvre l'expertise sollicitée par la recourante.</w:t>
      </w:r>
    </w:p>
    <w:p>
      <w:r>
        <w:t>A/1355/2024 - 23/24 -</w:t>
      </w:r>
    </w:p>
    <w:p>
      <w:r>
        <w:rPr>
          <w:b/>
        </w:rPr>
        <w:t>E. 2.2</w:t>
      </w:r>
    </w:p>
    <w:p>
      <w:r>
        <w:t>En l'espèce, la recourante ne remet pas en cause l'octroi de la rente d'invalidité entière du 1er janvier 2021 au 31 décembre 2022, ni le refus d'octroi d'autres mesures professionnelles, de sorte que le litige porte donc uniquement sur la décision de l'intimé en tant qu'elle refuse l'octroi d'une rente d'invalidité à compter du 1er janvier 2023.</w:t>
      </w:r>
    </w:p>
    <w:p>
      <w:r>
        <w:t>A/1355/2024 - 10/24 -</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w:t>
      </w:r>
    </w:p>
    <w:p>
      <w:r>
        <w:rPr>
          <w:b/>
        </w:rPr>
        <w:t>E. 3.2</w:t>
      </w:r>
    </w:p>
    <w:p>
      <w:r>
        <w:t>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3.3</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w:t>
      </w:r>
    </w:p>
    <w:p>
      <w:r>
        <w:rPr>
          <w:b/>
        </w:rPr>
        <w:t>E. 3.4</w:t>
      </w:r>
    </w:p>
    <w:p>
      <w:r>
        <w:t>En l'espèce, la décision a été rendue postérieurement au 31 janvier 2022. Par ailleurs, si la demande a été déposée en juillet 2020, si le délai d'attente d'une</w:t>
      </w:r>
    </w:p>
    <w:p>
      <w:r>
        <w:t>A/1355/2024 - 11/24 - année est venu à échéance le 1er novembre 2020 et si le droit à la rente est né le 1er janvier 2021, la modification de circonstances retenue par l'intimé est survenue en septembre 2022 conduisant à la suppression de la rente à compter du 1er janvier 2023. Le nouveau droit est partant applicable au litige, de sorte que les dispositions seront citées dans le teneur en vigueur dès le 1er janvier 2022.</w:t>
      </w:r>
    </w:p>
    <w:p>
      <w:r>
        <w:rPr>
          <w:b/>
        </w:rPr>
        <w:t>E. 4</w:t>
      </w:r>
    </w:p>
    <w:p>
      <w:r>
        <w:t>La recourante affirme que le versement de la rente aurait dû se poursuivre après le 31 décembre 2022.</w:t>
      </w:r>
    </w:p>
    <w:p>
      <w:r>
        <w:rPr>
          <w:b/>
        </w:rPr>
        <w:t>E. 4.1</w:t>
      </w:r>
    </w:p>
    <w:p>
      <w:r>
        <w:t>L’art. 17 al. 1 LPGA dispose que si le taux d’invalidité du bénéficiaire de la rente subit une modification notable, la rente est, d’office ou sur demande, révisée pour l’avenir, à savoir augmentée ou réduite en conséquence, ou encore supprimée.</w:t>
      </w:r>
    </w:p>
    <w:p>
      <w:r>
        <w:rPr>
          <w:b/>
        </w:rPr>
        <w:t>E. 4.2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w:t>
      </w:r>
    </w:p>
    <w:p>
      <w:r>
        <w:rPr>
          <w:b/>
        </w:rPr>
        <w:t>E. 4.3</w:t>
      </w:r>
    </w:p>
    <w:p>
      <w:r>
        <w:t>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 Si la capacité de gain ou la capacité d’accomplir les travaux habituels de l’assuré s’améliore ou que son impotence ou encore le besoin de soins ou le besoin d’aide</w:t>
      </w:r>
    </w:p>
    <w:p>
      <w:r>
        <w:t>A/1355/2024 - 12/24 -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Lorsqu’est prise une première décision concernant l’octroi simultané de deux rentes successives dont la seconde est d’un montant inférieur, ou même l’octroi d’une rente dont la suppression ultérieure est décidée simultanément, la réduction ou la suppression de la rente prend effet à l’un des délais mentionnés à l’art. 88a al. 1, RAI. Cette réduction ou cette suppression prend effet le premier jour du mois suivant l’expiration de la période de trois mois (Office fédéral des assurances sociales [ci-après : OFAS], Circulaire sur l’invalidité et les rentes dans l’assurance-invalidité [CIRAI], valable dès le 1er janvier 2022, n. 4102 concernant l'art. 88a al. 1 LAI, qui n'a pas changé au 1er janvier 2022).</w:t>
      </w:r>
    </w:p>
    <w:p>
      <w:r>
        <w:rPr>
          <w:b/>
        </w:rPr>
        <w:t>E. 5.1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5.2</w:t>
      </w:r>
    </w:p>
    <w:p>
      <w:r>
        <w:t>Une rente n'est pas octroyée tant que toutes les possibilités de réadaptation au sens de l'art. 8 al. 1bis et 1ter n'ont pas été épuisées (art. 28 al. 1bis LAI).</w:t>
      </w:r>
    </w:p>
    <w:p>
      <w:r>
        <w:t>A/1355/2024 - 13/24 - Selon la jurisprudence, si l'assuré peut prétendre à des prestations de l'assurance- invalidité, l'allocation d'une rente d'invalidité à l'issue du délai d'attente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w:t>
      </w:r>
    </w:p>
    <w:p>
      <w:r>
        <w:rPr>
          <w:b/>
        </w:rPr>
        <w:t>E. 9</w:t>
      </w:r>
    </w:p>
    <w:p>
      <w:r>
        <w:t>Dans ces circonstances, le recours sera partiellement admis, la décision litigieuse sera annulée et la cause sera renvoyée à l'intimé pour instruction médicale complémentaire et nouvelle décision.</w:t>
      </w:r>
    </w:p>
    <w:p>
      <w:r>
        <w:rPr>
          <w:b/>
        </w:rPr>
        <w:t>E. 10</w:t>
      </w:r>
    </w:p>
    <w:p>
      <w:r>
        <w:t>Malgré l'issue du litige, il ne sera pas alloué d'indemnité de procédure à la recourante, qui n'est pas représentée (art. 61 let. g LPGA). La procédure en matière d'assurance-invalidité n'étant pas gratuite (art. 69 al. 1bis LAI), un émolument de CHF 200.- sera mis à la charge de l’office intimé.</w:t>
      </w:r>
    </w:p>
    <w:p>
      <w:r>
        <w:t>A/1355/2024 - 24/24 -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