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ATAS/412/2023 vom 6. Juni 2023</w:t>
      </w:r>
    </w:p>
    <w:p>
      <w:r>
        <w:t>GE Cour de justice, 2023-06-06, FR</w:t>
      </w:r>
    </w:p>
    <w:p>
      <w:r>
        <w:rPr>
          <w:b/>
        </w:rPr>
        <w:t xml:space="preserve">Quelle: </w:t>
      </w:r>
      <w:r>
        <w:t>https://mcp.opencaselaw.ch/entscheid/ge_gerichte_ATAS_412_2023</w:t>
      </w:r>
    </w:p>
    <w:p>
      <w:r>
        <w:t>FR: GE_GERICHTE ATAS/412/2023 du 6 juin 2023</w:t>
      </w:r>
    </w:p>
    <w:p>
      <w:r>
        <w:t>IT: GE_GERICHTE ATAS/412/2023 del 6 giugno 2023</w:t>
      </w:r>
    </w:p>
    <w:p>
      <w:pPr>
        <w:pStyle w:val="Heading2"/>
      </w:pPr>
      <w:r>
        <w:t>Erwägungen</w:t>
      </w:r>
    </w:p>
    <w:p>
      <w:r>
        <w:rPr>
          <w:b/>
        </w:rPr>
        <w:t>E. 13</w:t>
      </w:r>
    </w:p>
    <w:p>
      <w:r>
        <w:t>mars 2023 par un cabinet d'architectes italien sis dans la région des biens immobiliers en cause et qui a été présentée au SPC en annexe d'un courrier de l'intéressée du 15 mars 2023 ; Que cette "estimation", qui concluait en particulier, de manière motivée, à l'impossibilité de louer les trois "logements" sis sur les parcelles propriété de la recourante ainsi que de les vendre, a conduit l'intimé à considérer que lesdits biens ne peuvent pas être loués et à proposer l'admission du recours, l'annulation de sa décision sur oppositions attaquée et le renvoi de la cause à lui-même pour nouvelle décision, laquelle ne devrait tenir compte d'aucun montant à titre de produit hypothétique de la fortune immobilière et ce rétroactivement au 1er décembre 2016 ; Que la recourante est d'accord avec cette proposition, qui correspond concrètement aux conclusions au fond de son recours, et demande au surplus l'octroi d'une indemnité de dépens ; Que ladite proposition formulée devant la chambre de céans par l'intimé, acceptée par la recourante, apparaît, sur la base d'un examen sommaire des pièces au dossier et des arguments des parties, conforme au droit (cf. à ce sujet et dans ce sens, notamment, art. 11 al. 1 let. b et g aLPC dans sa teneur en vigueur avant le 1er janvier 2021, art. 11 al. 1 let. b et 11a LPC dans leur version en vigueur à partir du 1er janvier 2021; arrêt du Tribunal fédéral 9C_751/2018 du 16 avril 2019 consid. 7; ATAS/1143/2022 du 20 décembre 2022 consid. 6 et 13.1 et 13.2) ; Qu'il convient dès lors d'en prendre acte, comme valant jugement ; Que cette transaction vide le présent litige de son objet, de sorte que la cause doit être rayée du rôle (ATF 135 V 65) ;</w:t>
      </w:r>
    </w:p>
    <w:p>
      <w:r>
        <w:t>A/739/2023 - 4/5 -</w:t>
      </w:r>
    </w:p>
    <w:p>
      <w:r>
        <w:t>Qu'une indemnité de dépens (art. 61 let. g LPGA et 6 du règlement sur les frais, émoluments et indemnités en matière administrative du 30 juillet 1986 [RFPA – E 5 10.03]) de CHF 1'500.- sera allouée à l'intéressée, qui est représentée par un avocat désigné comme curateur et ayant mené avec succès le procès de sa protégée (cf. ATF 124 V 338 consid. 4; ATAS/319/2023 du 13 avril 2023 consid. 10) ; Que le recours a en l'occurrence été rendu nécessaire par le fait, notamment, que l'intimé n'avait pas requis de l'assurée, avant le prononcé de sa décision sur oppositions querellée, une évaluation par des professionnels de l'immobilier du ou des loyers que pourrait effectivement obtenir l'assurée de ses biens immobiliers (cf. arrêt du Tribunal fédéral 9C_751/2018 précité consid. 7; ATAS/1127/2017 du 11 décembre 2017 consid. 17c a contrario) ; Que la procédure est gratuite (art. 89H al. 1 LPA et vu l'art. 61 let. fbis LPGA).</w:t>
      </w:r>
    </w:p>
    <w:p>
      <w:r>
        <w:t>***</w:t>
      </w:r>
    </w:p>
    <w:p>
      <w:r>
        <w:t>A/739/2023 - 5/5 -</w:t>
      </w:r>
    </w:p>
    <w:p>
      <w:r>
        <w:t>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