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ATAS/412/2018 vom 14. Mai 2018</w:t>
      </w:r>
    </w:p>
    <w:p>
      <w:r>
        <w:t>GE Cour de justice, 2018-05-14, FR</w:t>
      </w:r>
    </w:p>
    <w:p>
      <w:r>
        <w:rPr>
          <w:b/>
        </w:rPr>
        <w:t xml:space="preserve">Quelle: </w:t>
      </w:r>
      <w:r>
        <w:t>https://mcp.opencaselaw.ch/entscheid/ge_gerichte_ATAS_412_2018</w:t>
      </w:r>
    </w:p>
    <w:p>
      <w:r>
        <w:t>FR: GE_GERICHTE ATAS/412/2018 du 14 mai 2018</w:t>
      </w:r>
    </w:p>
    <w:p>
      <w:r>
        <w:t>IT: GE_GERICHTE ATAS/412/2018 del 14 maggio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w:t>
      </w:r>
    </w:p>
    <w:p>
      <w:r>
        <w:t>A/213/2018 - 8/17 -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À teneur de l'art. 1 LAFam, les dispositions de la LPGA s’appliquent aux allocations familiales, à moins que la loi n'y déroge expressément. L'art. 2B LAF prévoit que les prestations sont régies par la LAFam et ses dispositions d'exécution (let. a),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a. 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 tel n’est pas le cas de celui qui n’est atteint que de manière indirecte ou médiate (ATF 133 II 400 consid. 2.2 ; ATF 133 II 409 consid. 1.3 ; ATF 131 II 361 consid. 1.2 ; ATF 131 V 298 consid. 3ss). b. En l’occurrence, il ne fait aucun doute que la recourante, titulaire du droit aux prestations de l’intimée et destinataire de la décision sur opposition du 14 décembre 2017, dispose de la qualité pour recourir contre cette dernière. En revanche, son époux n’a pas de droit à l’encontre de l’intimée et n’est pas destinataire de la décision litigieuse, de sorte qu’il n’est atteint que de manière indirecte par la décision de refus d’allocation de formation professionnelle pour son</w:t>
      </w:r>
    </w:p>
    <w:p>
      <w:r>
        <w:t>A/213/2018 - 9/17 - fils et sa fille aînée. Ainsi en tant que le recours a été formé par le père de C______ et de B______, il doit être déclaré irrecevable.</w:t>
      </w:r>
    </w:p>
    <w:p>
      <w:r>
        <w:rPr>
          <w:b/>
        </w:rPr>
        <w:t>E. 4</w:t>
      </w:r>
    </w:p>
    <w:p>
      <w:r>
        <w:t>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en jours ou en mois fixés par la loi ou par l'autorité ne courent pas du 18 décembre au 2 janvier inclusivement (art. 38 al. 4 let. c LPGA et art. 89C LPA). Interjeté dans la forme et le délai prescrits par la loi, le recours formé par la recourante le 22 janvier 2018 contre la décision sur opposition du 14 décembre 2017 est recevable (art. 56ss LPGA ; 38A LAF).</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et les références). En l’espèce, le litige porte uniquement sur le droit de la recourante aux allocations de formation professionnelle en faveur de sa fille C______, pour les mois de décembre 2010 à juillet 2013, dès lors que l’intimée ne s’est pas prononcée, dans la décision dont est recours, sur la situation de B______, quand bien même l’opposition de la recourante concernait clairement ses deux enfants en formation.</w:t>
      </w:r>
    </w:p>
    <w:p>
      <w:r>
        <w:rPr>
          <w:b/>
        </w:rPr>
        <w:t>E. 6</w:t>
      </w:r>
    </w:p>
    <w:p>
      <w:r>
        <w:t>a. Selon l'art. 12 al. 1 LAF, dans sa teneur en vigueur depuis le 1er janvier 2009, le droit aux allocations familiales arriérées s'éteint cinq ans après la fin du mois pour lequel elles étaient dues. Cette disposition est conforme à l'art. 24 LPGA qui prévoit également un délai de prescription de cinq ans pour le droit aux prestations arriérées. La jurisprudence précise que,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 arrêt du Tribunal fédéral 9C_574/2008 du 27 mars 2009 consid. 2.1). b. Selon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w:t>
      </w:r>
    </w:p>
    <w:p>
      <w:r>
        <w:t>A/213/2018 - 10/17 - demande ne respecte pas les exigences de forme ou si elle est remise à un organe incompétent, la date à laquelle elle a été remise à la poste ou déposée auprès de cet organe est déterminante quant à l'observation des délais et aux effets juridiques de la demande (al. 3). Conformément à la jurisprudence relative à l'art. 29 al. 3 LPGA, la date déterminante quant à l'observation des délais et aux effets juridiques d'une demande est celle à laquelle la requête a été remise à la poste ou déposée auprès de cet organe (arrêt du Tribunal fédéral 9C_573/2017 du 23 janvier 2018 consid. 5 et les références). c. En l’occurrence, il est rappelé que les décisions de l’intimée des 13 juillet 2009, 1er novembre 2010, 15 octobre 2012 et 22 janvier 2014 n’ont pas été contestées par la recourante et sont entrées en force. À défaut de remplir les conditions légales d’une révision ou d’une reconsidération, le courrier de la recourante, envoyé par pli recommandé le 28 décembre 2015, est une nouvelle demande. La recourante peut donc obtenir l’octroi d’allocations familiales pour les cinq dernières années à compter de sa nouvelle demande, soit dès le mois de décembre 2010.</w:t>
      </w:r>
    </w:p>
    <w:p>
      <w:r>
        <w:rPr>
          <w:b/>
        </w:rPr>
        <w:t>E. 7</w:t>
      </w:r>
    </w:p>
    <w:p>
      <w:r>
        <w:t>Les allocations familiales sont des prestations en espèces, uniques ou périodiques, destinées à compenser partiellement la charge financière représentée par un ou plusieurs enfants (art. 2 LAFam et 4 al. 1 LAF).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7A LAF). Elle s’élève à CHF 250.- par mois au minimum, les cantons pouvant prévoir des taux minimaux plus élevés (cf. art. 5 et 3 al. 2 LAFam). À Genève, le montant de l’allocation de formation professionnelle s’élève à CHF 400.- par mois depuis le 1er janvier 2012 (CHF 250.- jusqu’au 31 décembre 2011 (cf. art. 8 al. 3 LAF).</w:t>
      </w:r>
    </w:p>
    <w:p>
      <w:r>
        <w:rPr>
          <w:b/>
        </w:rPr>
        <w:t>E. 8</w:t>
      </w:r>
    </w:p>
    <w:p>
      <w:r>
        <w:t>L’art. 1 al. 1 de l’ordonnance du 31 octobre 2007 sur les allocations familiales, (OAFam - RS 836.21) précise qu’un droit à l’allocation de formation professionnelle existe pour les enfants accomplissant une formation au sens de l’art. 25 al. 5 LAVS. Selon cette disposition, pour les enfants qui accomplissent une formation, le droit à la rente (d'orphelin) s'étend jusqu'au terme de cette formation, mais au plus jusqu'à l'âge de 25 ans révolus ; le Conseil fédéral peut définir ce que l'on entend par formation.</w:t>
      </w:r>
    </w:p>
    <w:p>
      <w:r>
        <w:rPr>
          <w:b/>
        </w:rPr>
        <w:t>E. 9</w:t>
      </w:r>
    </w:p>
    <w:p>
      <w:r>
        <w:t>a. La notion de formation est aujourd'hui définie à l'art. 49bis du règlement sur l'assurance-vieillesse et survivants du 31 octobre 1947 (RAVS - RS 831.101) en relation avec l'art. 25 al. 5 2ème phrase LAVS, entré en vigueur le 1er janvier 2011.</w:t>
      </w:r>
    </w:p>
    <w:p>
      <w:r>
        <w:t>A/213/2018 - 11/17 - b. Cependant le droit aux prestations de la recourante, pour le mois de décembre 2010, reste régi par les dispositions du RAVS en vigueur jusqu'au 31 décembre 2010, eu égard au principe selon lequel les règles applicables sont celles en vigueur au moment où les faits juridiquement déterminants se sont produits (ATF 137 V 394 consid. 3 et les arrêts cités). À défaut de disposition légale particulière sur la notion de formation, il convient de se référer à la jurisprudence en la matière. Constitue une formation, au sens de la jurisprudence, toute activité qui a pour but de préparer de manière systématique à une future activité lucrative, comme par exemple la maturité professionnelle (cf. ATF 108 V 54 consid. 1c). Pour admettre l'existence d'une préparation systématique à une future activité, il ne suffit pas que l'intéressé suive d'une manière purement formelle les écoles et cours pratiques prescrits à cet effet. La préparation systématique au sens de la jurisprudence suppose, bien plutôt, que la personne concernée suive la formation avec tout le zèle que l'on peut objectivement attendre d'elle, afin de l'achever avec succès dans des délais normaux. Si l'intéressé a besoin d'une période de formation bien plus longue que la moyenne ou s'il subit un échec, on ne saurait inférer de ces seules circonstances qu'il n'a pas fait preuve du zèle nécessaire pour accomplir sa formation. Un échec et une longue période de formation peuvent en effet aussi être dus à des aptitudes insuffisantes, ce qui n'exclut alors pas d'emblée un investissement suffisant de la part de la personne concernée. Ces circonstances constituent cependant des indices de l'engagement de l'intéressé, qui doivent être pris en considération et faire l'objet d'une appréciation globale, avec l'ensemble des autres éléments de fait (ATF 104 V 64 consid. 3 ; arrêt du Tribunal fédéral 9C_674/2008 du 18 juin 2009 consid. 2.2). c. Pour la période courant dès le 1er janvier 2011, les art. 49bis et 49ter RAVS sont applicables.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 sont également considérées comme formation les solutions transitoires d'occupation telles que les semestres de motivation et les préapprentissages, les séjours au pair et les séjours linguistiques, pour autant qu'ils comprennent une partie de cours (al. 2).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w:t>
      </w:r>
    </w:p>
    <w:p>
      <w:r>
        <w:t>A/213/2018 - 12/17 -</w:t>
      </w:r>
    </w:p>
    <w:p>
      <w:r>
        <w:rPr>
          <w:b/>
        </w:rPr>
        <w:t>E. 10</w:t>
      </w:r>
    </w:p>
    <w:p>
      <w:r>
        <w:t>a. D’après les Directives concernant les rentes (DR) de l’assurance-vieillesse, survivants et invalidité fédérale, publiées par l’Office fédéral des assurances sociales (dans leur teneur en vigueur en 2011),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 restreint de cours n’est plus considéré comme étant en formation s’il ne parvient pas à démontrer le temps prépondérant consacré à la formation (ch. 3360). Un stage pratique est assimilé à une formation si son accomplissement est une condition indispensable pour poursuivre une formation donnée ou passer un examen, ou obtenir un diplôme ou un certificat de fin d’apprentissage (ch.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(cf. cependant ch. suivant), il ne saurait être question d’une formation (ex: stage chez un producteur de cinéma selon arrêt du Tribunal fédéral 9C_223/2008 du 1er avril 2008 ; ch. 3362).</w:t>
      </w:r>
    </w:p>
    <w:p>
      <w:r>
        <w:t>A/213/2018 - 13/17 -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(ch. 3363). Si la formation professionnelle est interrompue, elle est - sous réserve des interruptions au sens des chiffres suivants - en principe considérée comme ayant pris fin. Tel est également le cas lorsque seul un objectif intermédiaire a jusqu’alors été atteint, tel l’obtention d’une maturité par exemple (ch. 3369). Des vacances ou autres périodes sans cours usuelles d’une durée supérieure à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 La période sans cours suivant la maturité gymnasiale n’est considérée comme formation que si l’intéressé reprend ses études au plus tard 4 mois après l’obtention de sa maturité. A défaut, on considère le cap de la maturité comme une fin (provisoire) de la formation. – Dans le cas d’une maturité professionnelle, l’interruption maximale pouvant être assimilée à la formation est également de 4 mois, à condition que les études soient reprises immédiatement après. – Font également partie des vacances usuelles les vacances de semestre universitaires, mais pas des semestres au cours desquels les étudiants sont en congé (ch. 3370). b. Ces directives avaient une teneur identique en 2012 et 2013, sous réserves d’une modification du chiffre 3361, libellé alors comme suit : Un stage pratique est assimilé à une formation si, légalement ou réglementairement, son accomplissement est une condition indispensable pour – accéder à une formation donnée ou passer un examen, ou – obtenir un diplôme ou un certificat de fin d’apprentissage (ch. 3361 1/12). Si les conditions du ch. 3361 ne sont pas remplies, un stage pratique est néanmoins assimilé à une formation si – le contrat de stage pratique garantit expressément que si l’enfant donne satisfaction, il obtiendra une place d’apprentissage dans l’entreprise concernée au terme du stage pratique, et que – le stage pratique dans l’entreprise concernée dure au maximum une année (ch. 3361 1 1/12).</w:t>
      </w:r>
    </w:p>
    <w:p>
      <w:r>
        <w:t>A/213/2018 - 14/17 -</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w:t>
      </w:r>
    </w:p>
    <w:p>
      <w:r>
        <w:rPr>
          <w:b/>
        </w:rPr>
        <w:t>E. 12</w:t>
      </w:r>
    </w:p>
    <w:p>
      <w:r>
        <w:t>a. En l’espèce, C______ a obtenu la maturité fédérale le 20 février 2012. Les pièces produites par la recourante ne permettent pas de déterminer le temps consacré par sa fille aux études, en l’absence de tout plan relatif à l’organisation de cette formation à distance, dont la durée dépend des compétences acquises par les candidats auparavant et de leur disponibilité. Il ressort uniquement de l’attestation de l’Institut Domi du 6 mars 2009 que C______ devait consacrer 20 heures par semaine entre le 13 septembre 2007 et le 13 octobre 2009, et du courrier de cet institut du 1er juillet 2010 qu’elle a bénéficié de cours entre les mois de mars et août 2010 jusqu’au passage du premier partiel. Selon les informations publiées par plusieurs organismes proposant un accompagnement à la préparation de la maturité fédérale, la durée de la formation peut être estimée à deux - trois ans. En effet, selon le site Internet de l’École Lemania, le diplôme est obtenu en cinq semestres (http://maturitesuisse.lemania.ch/?gclid=EAIaIQobChMIm72EoqnS2gIVGGcZCh1 88AUAEAAYAiAAEgIib_D_BwE). D’après le site de l’EPSU (École de préparation et soutien universitaire), la préparation complète individuelle à l’examen suisse de maturité est estimée à 3’200 heures de travail, soit environ dix-huit mois à temps plein (40 heures) ou trois ans à temps partiel (20 heures ; deux semestres pour le 1er partiel et trois semestres supplémentaires pour le 2ème partiel ; https://www.epsu.ch/matu/Page.php?R=31&amp;SR=694). Enfin, selon l’École Perreten à distance, la préparation à la maturité suisse se fait en général en deux ans (http://www.cours-perreten.ch/maturite-federale/). La lettre de l’Institut Domi du 1er juillet 2010 permet de conclure que C______ n’a terminé le premier partiel qu’au mois d’août 2010 au plus tôt, ce qui démontre qu’elle a effectivement achevé le second partiel dans les délais usuels, soit trois semestres. Ainsi, durant les mois de décembre 2010 à février 2012, la chambre de céans retiendra, au degré de la vraisemblance prépondérante, que C______ a consacré au moins 20 heures par semaine à ses études, auxquelles s’ajoutent les cours d’allemand du 29 mars au 10 mai 2011 (six heures par semaine), les cours</w:t>
      </w:r>
    </w:p>
    <w:p>
      <w:r>
        <w:t>A/213/2018 - 15/17 - d’anglais du 29 mars au 16 juin 2011 (trois heures par semaine), ainsi que les cours d’allemand dès le 3 octobre 2011 (durée non définie), étant relevé que l’anglais et l’allemand font partie du second partiel de l’examen de maturité (http://www.cours- perreten.ch/maturite-federale/). Partant, il y a lieu de conclure que C______ a consacré la majeure partie de son temps à une formation régulière, à tout le moins entre les mois de décembre 2010 et février 2012, de sorte que la recourante a droit à l’allocation de formation professionnelle pour sa fille durant cette période. b. Entre l’obtention de la maturité en février 2012 et le début des études de biologie à l’Université de Berne en août 2013, les seules pièces produites par la recourante concernent une « formation » à Equi’mind pendant les mois de mars à avril 2013 et l’inscription aux examens d’entrée en médecine le 5 juillet 2013. Il appert donc que C______ n’a pas repris ses études dans un délai de quatre mois suivant l’acquisition de sa maturité, de sorte qu’il y a lieu de retenir que l’obtention de ce diplôme correspond à la fin provisoire de sa formation. Selon les factures d’Equi’mind, C______ a bénéficié de cours individuels et collectifs, à raison de sept heures par semaine pour le mois de mars 2013, neuf heures par semaine pour le mois d’avril 2013 et neuf heures et demi par semaine pour le mois de mai 2013, de sorte qu’elle n’a pas consacré l’essentiel de son temps à l’accomplissement d’une formation. En outre, cet enseignement n’a pas abouti à un quelconque diplôme et la recourante ne soutient pas qu’il réponde à un plan de formation structuré. Elle fait en revanche valoir que ce stage a été validé comme partie intégrante de l’année préparatoire à la HAFL. Pour pouvoir être admis à suivre les études de bachelor en agronomie à la HAFL, les étudiants doivent être au bénéfice d’une formation scolaire préalable et d’une formation professionnelle préalable. Cette dernière correspond à un apprentissage dans une profession apparentée ou à un stage préliminaire de douze mois encadré sur une exploitation agricole. La HAFL décide au cas par cas si une formation préalable peut être jugée équivalente (https://www.hafl.bfh.ch/fr/etudes/bachelor- agronomie/conditions-dadmission.html). Que la période passée à Equi’mind, ou une partie de celle-ci, ait été admise par la HAFL comme faisant partie du stage préliminaire requis n’est pas pertinent, dès lors que C______ n’avait manifestement pas l’intention de rejoindre cette Haute école au mois de mars 2013. En effet, il est rappelé qu’elle s’est présentée aux tests d’aptitude pour suivre des études de médecine le 5 juillet 2013, que ne les ayant pas réussis, elle s’est inscrite à la faculté de biologie durant l’année scolaire 2013-2014, puis a retenté les examens d’entrée à l’université de médecine le 4 juillet 2014. Suite à un second échec, elle a intégré la HAFL au mois d’octobre 2014 et réalisé alors les stages préliminaires requis. En outre, on ne saurait considérer que C______ était en phase « transitoire » à l’échéance de sa</w:t>
      </w:r>
    </w:p>
    <w:p>
      <w:r>
        <w:t>A/213/2018 - 16/17 - scolarité, dès lors qu’elle a rejoint Equi’mind plus d’une année après avoir obtenu sa maturité. Partant, au vu des pièces produites par la recourante, le stage effectué par C______ entre le 1er mars et le 31 mai 2013 ne constitue de toute évidence pas une condition d’accès à une formation qu’elle avait alors projetée de suivre. La recourante ne peut donc prétendre à l’allocation de formation professionnelle entre le 1er mars 2012 et le 31 juillet 2013.</w:t>
      </w:r>
    </w:p>
    <w:p>
      <w:r>
        <w:rPr>
          <w:b/>
        </w:rPr>
        <w:t>E. 13</w:t>
      </w:r>
    </w:p>
    <w:p>
      <w:r>
        <w:t>Par conséquent, la recourante a droit à l’allocation de formation professionnelle en faveur de C______ pour la période courant du 1er décembre 2010 au 29 février 2012 uniquement.</w:t>
      </w:r>
    </w:p>
    <w:p>
      <w:r>
        <w:rPr>
          <w:b/>
        </w:rPr>
        <w:t>E. 14</w:t>
      </w:r>
    </w:p>
    <w:p>
      <w:r>
        <w:t>Enfin, il est rappelé que la recourante, dans son opposition du 8 juin complétée le 21 juillet 2016, a également clairement contesté la décision du 12 mai 2016 en tant qu’elle portait sur le droit à l’allocation de formation professionnelle en faveur de B______. À tort, l’intimée a considéré, dans la décision dont est recours, que seule la situation de C______ avait été contestée dans l’opposition, de sorte qu’elle n’a pas statué de manière définitive sur le droit à l’allocation pour B______. Le dossier sera donc renvoyé à l’intimée pour décision sur opposition formelle à cet égard. Partant, il ne sera pas donné suite, dans le cadre de la présente procédure, à la demande de renseignement de l’intimée du 27 avril 2018.</w:t>
      </w:r>
    </w:p>
    <w:p>
      <w:r>
        <w:rPr>
          <w:b/>
        </w:rPr>
        <w:t>E. 15</w:t>
      </w:r>
    </w:p>
    <w:p>
      <w:r>
        <w:t>Au vu de ce qui précède, le recours sera partiellement admis et la décision litigieuse réformée dans le sens que la recourante a droit aux prestations pour sa fille C______ entre le 1er décembre 2010 et le 29 février 2012. Elle sera confirmée pour le surplus. La procédure est gratuite (art. 61 let. a LPGA ; art. 89H al. 1 LPA).</w:t>
      </w:r>
    </w:p>
    <w:p>
      <w:r>
        <w:t>A/213/2018 - 17/17 -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