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ATAS/412/2016 vom 24. Mai 2016</w:t>
      </w:r>
    </w:p>
    <w:p>
      <w:r>
        <w:t>GE Cour de justice, 2016-05-24, FR</w:t>
      </w:r>
    </w:p>
    <w:p>
      <w:r>
        <w:rPr>
          <w:b/>
        </w:rPr>
        <w:t xml:space="preserve">Quelle: </w:t>
      </w:r>
      <w:r>
        <w:t>https://mcp.opencaselaw.ch/entscheid/ge_gerichte_ATAS_412_2016</w:t>
      </w:r>
    </w:p>
    <w:p>
      <w:r>
        <w:t>FR: GE_GERICHTE ATAS/412/2016 du 24 mai 2016</w:t>
      </w:r>
    </w:p>
    <w:p>
      <w:r>
        <w:t>IT: GE_GERICHTE ATAS/412/2016 del 24 maggio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L’assuré a déposé un recours pour déni de justice à l’encontre de l’assureur le 21 mars 2016.</w:t>
      </w:r>
    </w:p>
    <w:p>
      <w:r>
        <w:rPr>
          <w:b/>
        </w:rPr>
        <w:t>E. 3</w:t>
      </w:r>
    </w:p>
    <w:p>
      <w:r>
        <w:t>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w:t>
      </w:r>
    </w:p>
    <w:p>
      <w:r>
        <w:t>A/937/2016 - 4/5 - retard injustifié ; ce qui est déterminant, c’est le fait que l’autorité n’ait pas agi ou qu’elle ait agi avec retard (arrêts du Tribunal fédéral des assurances C 53/01 du 30 avril 2001 consid. 2 et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En l’espèce, la chambre de céans a, par arrêt du 19 mai 2015, admis le recours déposé par l’assuré pour déni de justice (ATAS/365/2015). Or, l’assureur n’a rendu aucune décision suite à cet arrêt. Il a du reste formellement reconnu, le 11 mai 2016, le retard injustifié. Il y a lieu de conclure, au vu de ce qui précède, que l’assureur a commis un déni de justice. Le recours est en conséquence admis. La chambre de céans prend note de ce que l’assureur notifiera à l’assuré, dans les plus brefs délais, les décisions sur opposition conformément à l’arrêt du 19 mai 2015 et donnera suite à l’arrêt du Tribunal administratif du 15 janvier 2002.</w:t>
      </w:r>
    </w:p>
    <w:p>
      <w:r>
        <w:t>A/937/2016 - 5/5 -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