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ATAS/412/2015 vom 9. Juni 2015</w:t>
      </w:r>
    </w:p>
    <w:p>
      <w:r>
        <w:t>GE Cour de justice, 2015-06-09, FR</w:t>
      </w:r>
    </w:p>
    <w:p>
      <w:r>
        <w:rPr>
          <w:b/>
        </w:rPr>
        <w:t xml:space="preserve">Quelle: </w:t>
      </w:r>
      <w:r>
        <w:t>https://mcp.opencaselaw.ch/entscheid/ge_gerichte_ATAS_412_2015</w:t>
      </w:r>
    </w:p>
    <w:p>
      <w:r>
        <w:t>FR: GE_GERICHTE ATAS/412/2015 du 9 juin 2015</w:t>
      </w:r>
    </w:p>
    <w:p>
      <w:r>
        <w:t>IT: GE_GERICHTE ATAS/412/2015 del 9 giugno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prescrit, le présent recours est recevable (art. 56 ss LPGA).</w:t>
      </w:r>
    </w:p>
    <w:p>
      <w:r>
        <w:rPr>
          <w:b/>
        </w:rPr>
        <w:t>E. 3</w:t>
      </w:r>
    </w:p>
    <w:p>
      <w:r>
        <w:t>Le litige porte sur le droit de la Caisse d’obtenir par la voie de la compensation les arriérés de cotisations personnelles AVS/AI dues par feu l’assuré avec les rentes de veuve de son épouse, à hauteur de CHF 700.- par mois.</w:t>
      </w:r>
    </w:p>
    <w:p>
      <w:r>
        <w:rPr>
          <w:b/>
        </w:rPr>
        <w:t>E. 4</w:t>
      </w:r>
    </w:p>
    <w:p>
      <w:r>
        <w:t>L'entrée en vigueur de la LPGA n'a pas modifié les règles relatives à la compensation, qui reste régie par les lois spéciales ou les principes généraux, sous réserve de l'art. 20 al. 2 LPGA (cf. Ueli KIESER, ATSG-Kommentar: Kommentar zum Bundesgesetz über den Allgemeinen Teil des Sozialversicherungsrechts vom</w:t>
      </w:r>
    </w:p>
    <w:p>
      <w:r>
        <w:rPr>
          <w:b/>
        </w:rPr>
        <w:t>E. 6</w:t>
      </w:r>
    </w:p>
    <w:p>
      <w:r>
        <w:t>Aux termes de l’article 16 alinéa 1 LAVS, la créance de cotisations, fixée par décision notifiée conformément à l’alinéa 1, s’éteint cinq ans après la fin de l’année civile au cours de laquelle la décision est passée en force. Des créances de cotisations non encore éteintes au moment de la naissance du droit à la rente peuvent dans tous les cas faire l’objet d’une compensation avec la rente (art. 16, al. 2 LAVS). Les cotisations impayées ont en l'occurrence été fixées en temps utile dans des décisions qui n'ont pas été contestées par feu l'assuré. Aussi la créance de la Caisse est-elle échue et non prescrite.</w:t>
      </w:r>
    </w:p>
    <w:p>
      <w:r>
        <w:rPr>
          <w:b/>
        </w:rPr>
        <w:t>E. 7</w:t>
      </w:r>
    </w:p>
    <w:p>
      <w:r>
        <w:t>Dans la mesure où la rente de veuve allouée à l'intéressée a été calculée en tenant compte des cotisations dont son époux défunt aurait dû s’acquitter, le lien de connexité est patent conformément à la jurisprudence précitée, de sorte qu’en principe, la compensation est légitime.</w:t>
      </w:r>
    </w:p>
    <w:p>
      <w:r>
        <w:rPr>
          <w:b/>
        </w:rPr>
        <w:t>E. 8</w:t>
      </w:r>
    </w:p>
    <w:p>
      <w:r>
        <w:t>La compensation est possible pour une créance de cotisations, frais d'administration et de poursuite y compris (ATF 115 V 341 notamment). L'intéressée conteste également devoir payer des intérêts. Force est toutefois de constater, contrairement à ce que celle-ci soutient, que la Caisse a respecté ses obligations légales en tous points, de sorte qu'on ne voit pas pour quelle raison sa créance ne serait pas soumise à intérêts, conformément à l'art. 41 bis RAVS.</w:t>
      </w:r>
    </w:p>
    <w:p>
      <w:r>
        <w:rPr>
          <w:b/>
        </w:rPr>
        <w:t>E. 9</w:t>
      </w:r>
    </w:p>
    <w:p>
      <w:r>
        <w:t>L'intéressée considère que la compensation ne se justifie pas au motif que la succession de son époux dispose encore de liquidités. Cet argument n'est toutefois pas pertinent en l'état. Il y a en effet lieu de rappeler qu'aux termes de l'art. 15 al. 1 LAVS, les cotisations non versées après sommation sont perçues sans délai par voie de poursuite, à moins qu'elles ne puissent être compensées avec des rentes échues. Il convient quoi qu'il en soit de relever que la Caisse a produit sa créance dans la succession de feu l'assuré à hauteur de CHF 22'931.10.</w:t>
      </w:r>
    </w:p>
    <w:p>
      <w:r>
        <w:rPr>
          <w:b/>
        </w:rPr>
        <w:t>E. 10</w:t>
      </w:r>
    </w:p>
    <w:p>
      <w:r>
        <w:t>L'intéressée allègue qu'en compensant directement ses créances avec les rentes, la Caisse viole l’art. 43 RAVS, aux termes duquel en cas de décès d'une personne tenue au paiement des cotisations, ses héritiers répondent solidairement des cotisations dues par elle de son vivant, étant précisé que les art. 566, 589 et 593 du Code civil suisse, réglant les cas où la succession a été répudiée, sont réservés. Le TF a toutefois répété, ce à maintes reprises, qu'une créance de cotisations à l'encontre d'un débiteur décédé peut aussi être compensée avec les rentes de</w:t>
      </w:r>
    </w:p>
    <w:p>
      <w:r>
        <w:t>A/3494/2014 - 10/12 - survivants revenant à ses héritiers, quand bien même ceux-ci ont répudié la succession (arrêt du 6 juin 2005, H 192/04, notamment). Force est ainsi de conclure que c'est à juste titre que la Caisse entendait compenser sa créance avec la rente de veuve due à l'intéressée.</w:t>
      </w:r>
    </w:p>
    <w:p>
      <w:r>
        <w:rPr>
          <w:b/>
        </w:rPr>
        <w:t>E. 11</w:t>
      </w:r>
    </w:p>
    <w:p>
      <w:r>
        <w:t>La compensation opérée avec une rente mensuelle n'est toutefois possible que dans la mesure où le montant retenu sur la rente mensuelle ne touche pas le minimum vital de la personne tenue à restitution (ATF 128 V 50 consid. 4a).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prévoient un montant de base mensuel. Ce montant doit permettre à son bénéficiaire de couvrir les dépenses de nourriture, les frais de vêtements et de linge y compris leur entretien, les soins corporels et de santé, l'entretien du logement, les frais culturels, les frais d'électricité ou de gaz pour la cuisine. La détermination de ce montant ne dépend pas du train de vie mais de la situation familiale du débiteur (OCHSNER, op. cit., n. 87 ad art 93 LP). Au cas où celui-ci n'assume pas seul certaines dépenses comprises dans ledit montant mensuel de base, cela justifie une réduction de celui-ci en fonction de la part prise en charge par les autres membres du ménage (ATF 132 III 483 consid. 4.3 = JdT 2007 II 78 consid. 4.3; BÜHLER, Aktuelle Probleme bei Existenzminimumberechnung, in RSJ 100/2004, p. 25, 27).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l'assurance-maladie obligatoire peuvent être prises en compte dans le calcul du minimum vital, à l'exclusion des primes de l'assurance- maladie complémentaire (ATF 134 III 323 consid. 3).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w:t>
      </w:r>
    </w:p>
    <w:p>
      <w:r>
        <w:t>A/3494/2014 - 11/12 -</w:t>
      </w:r>
    </w:p>
    <w:p>
      <w:r>
        <w:rPr>
          <w:b/>
        </w:rPr>
        <w:t>E. 12</w:t>
      </w:r>
    </w:p>
    <w:p>
      <w:r>
        <w:t>En l’espèce, il convient donc d’examiner la situation au moment où la décision litigieuse a été rendue, soit en décembre 2013.</w:t>
      </w:r>
    </w:p>
    <w:p>
      <w:r>
        <w:rPr>
          <w:b/>
        </w:rPr>
        <w:t>E. 13</w:t>
      </w:r>
    </w:p>
    <w:p>
      <w:r>
        <w:t>La Caisse s'est en l'espèce fondée sur le montant que lui a communiqué l'office des poursuites de Nyon. D’après les normes d’insaisissabilité 2014 pour le canton de Vaud basées sur l’art. 93 LP et au vu des éléments produits pour la détermination du minimum vital, le montant mensuel saisissable a été évalué à CHF 1’137.15 pour l’année 2014. L'intéressée critique le calcul auquel a procédé l’Office des poursuites du district de Nyon, dans la mesure où celui-ci n’a pas pris en considération les impôts, les frais lié à son véhicule, qui lui est indispensable pour se rendre à son travail, et les frais du contrôle de l’installation électrique de la maison et des conduites.</w:t>
      </w:r>
    </w:p>
    <w:p>
      <w:r>
        <w:rPr>
          <w:b/>
        </w:rPr>
        <w:t>E. 14</w:t>
      </w:r>
    </w:p>
    <w:p>
      <w:r>
        <w:t>Il y a toutefois lieu de constater, au vu de la jurisprudence précitée, que les impôts sont exclus du minimum vital, les frais liés à une voiture ne sont pris en compte que si le débiteur rend vraisemblable que l’usage de son véhicule est indispensable pour se rendre à son lieu de travail, ce qui n’est pas le cas en l'espèce. Les frais relatifs au contrôle de l’installation électrique et des conduites de la maison ne peuvent pas non plus être retenus, dès lors qu'ils ne correspondent pas à des frais d’entretien réguliers. Les frais concernant la résidence secondaire, aux véhicules et aux divers abonnements téléphoniques sont par ailleurs hors propos.</w:t>
      </w:r>
    </w:p>
    <w:p>
      <w:r>
        <w:rPr>
          <w:b/>
        </w:rPr>
        <w:t>E. 15</w:t>
      </w:r>
    </w:p>
    <w:p>
      <w:r>
        <w:t>Le calcul auquel s’est livrée la Caisse apparaît ainsi justifié, puisqu' il respecte, et ce largement, le minimum vital de l'intéressée. Force est, au vu de ce qui précède, de constater qu'elle est ainsi en droit de procéder à la compensation de sa créance par une retenue mensuelle de CHF 400.- sur la rente de veuve due à l'intéressée, et de CHF 700.- à compter de novembre 2014. Partant, le recours est rejeté.</w:t>
      </w:r>
    </w:p>
    <w:p>
      <w:r>
        <w:t>A/3494/2014 - 12/12 -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