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ATAS/412/2005 vom 17. Mai 2005</w:t>
      </w:r>
    </w:p>
    <w:p>
      <w:r>
        <w:t>GE Cour de justice, 2005-05-17, FR</w:t>
      </w:r>
    </w:p>
    <w:p>
      <w:r>
        <w:rPr>
          <w:b/>
        </w:rPr>
        <w:t xml:space="preserve">Quelle: </w:t>
      </w:r>
      <w:r>
        <w:t>https://mcp.opencaselaw.ch/entscheid/ge_gerichte_ATAS_412_2005</w:t>
      </w:r>
    </w:p>
    <w:p>
      <w:r>
        <w:t>FR: GE_GERICHTE ATAS/412/2005 du 17 mai 2005</w:t>
      </w:r>
    </w:p>
    <w:p>
      <w:r>
        <w:t>IT: GE_GERICHTE ATAS/412/2005 del 17 maggio 2005</w:t>
      </w:r>
    </w:p>
    <w:p>
      <w:pPr>
        <w:pStyle w:val="Heading2"/>
      </w:pPr>
      <w:r>
        <w:t>Regeste</w:t>
      </w:r>
    </w:p>
    <w:p>
      <w:r>
        <w:t>Résumé: arrêt plénum</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(ci- après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légaux, le recours est recevable (art. 56 à 60 LPGA).</w:t>
      </w:r>
    </w:p>
    <w:p>
      <w:r>
        <w:rPr>
          <w:b/>
        </w:rPr>
        <w:t>E. 4</w:t>
      </w:r>
    </w:p>
    <w:p>
      <w:r>
        <w:t>La question à résoudre en l’espèce est de savoir si la recourante a droit au remboursement de la totalité de la facture relative à sa prothèse oculaire en matière synthétique. a) Aux termes de l'art. 21 al. 1 LAI, l'assuré a droit, d'après une liste dressée par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w:t>
      </w:r>
    </w:p>
    <w:p>
      <w:r>
        <w:t>A/1255/2004 - 5/8 - conformément à une liste qu'établira le Conseil fédéral. L’alinéa 3 mentionne que l’assurance prend en charge les moyens auxiliaires d’un modèle simple et adéquat, l’assuré supportant les frais supplémentaires d’un autre modèle. Par l'art. 14 du règlement (ci-après RAI), le Conseil fédéral a délégué au Département fédéral de l'intérieur la compétence de dresser la liste des moyens auxiliaires et d'édicter des prescriptions complémentaires au sens de l'art. 21 al. 4 LAI. Ce département a édicté l'ordonnance concernant la remise des moyens auxiliaires par l'assurance-invalidité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l'ordonnance concernant la remise de moyens auxiliaires par l'assurance-invalidité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La remise de prothèses oculaires est prévue au chiffre 5.01 OMAI. Selon la Circulaire sur les moyens auxiliaires, éditée par l’OFAS, et récemment modifiée, les prothèses de l’œil remises aux assurés sont en principe en verre, mais elles peuvent être en matière synthétique sur indication médicale (cf. CMAI 5.01.1). S’agissant des tarifs applicables et des conventions, l’art. 27 LAI prévoit :</w:t>
      </w:r>
    </w:p>
    <w:p>
      <w:r>
        <w:t>«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2 (...) 3 En l’absence de convention, le Conseil fédéral peut fixer par arrêté les montants maximums des frais des mesures de réadaptation qui sont remboursés à l’assuré », et l’art. 24 RAI prévoit, sous le titre « Libre choix et conventions » : « 1 La compétence d’établir des prescriptions sur l’autorisation d’exercer une activité à charge de l’assurance, conformément à l’art. 26bis, al. 2, LAI, est déléguée au département. 2 Les conventions prévues à l’art. 27 LAI seront conclues par l’office fédéral.</w:t>
      </w:r>
    </w:p>
    <w:p>
      <w:r>
        <w:t>A/1255/2004 - 6/8 - 3 Pour les personnes et institutions qui appliquent des mesures de réadaptation sans avoir adhéré à une convention, les qualifications professionnelles fixées contractuellement valent comme exigences minimales de l’assurance au sens de l’art. 26bis, al. 1, LAI, et les tarifs établis par convention comme montants maximums au sens de l’art. 27, al. 3, LAI ». Le Tribunal fédéral des assurances (ci-après TFA) a précisé que le juge ne s’écartera pas sans motifs pertinents d’une convention tarifaire ou des directives fédérales, mais que ceux-ci ne peuvent pas avoir pour conséquence de priver un assuré de l’usage d’un moyen auxiliaire rendu nécessaire par son invalidité (en l’occurrence un appareil auditif ; ATFA 130 V 163 cons. 4). S’agissant de prothèses capillaires dont la prise en charge était limitée à 1'500 fr. par an, et saisi de la question, le TFA a rappelé récemment que ce montant n’avait pas été fixé arbitrairement mais en accord avec les milieux intéressés (cf. ATFA du 9 mars 2005 cause I 250/04 et jurisprudence citée). b) En l’espèce, la nécessité d’une prothèse en matière synthétique plutôt qu’en verre est établie médicalement et n’est d’ailleurs pas contestée par l’OCAI. Selon les règles énoncées ci-dessus et vu la convention tarifaire conclue avec certains fournisseurs de prothèses par l’OFAS, le montant remboursé à ce titre ne peut excéder 2'000 fr. L’oculariste B__________ a d’ailleurs confirmé être signataire de cette convention, procéder à l’exécution de prothèses en matière synthétique, et facturer celles-ci à raison de 2'000 fr. lorsque la prise en charge se fait par l’AI. Par conséquent, la recourante n’a pas droit au remboursement complet de la facture en cause sur la base des règles relatives à l’octroi de moyens auxiliaires.</w:t>
      </w:r>
    </w:p>
    <w:p>
      <w:r>
        <w:rPr>
          <w:b/>
        </w:rPr>
        <w:t>E. 5</w:t>
      </w:r>
    </w:p>
    <w:p>
      <w:r>
        <w:t>Cependant, le Tribunal constate que la demande de remboursement de la recourante vaut action en responsabilité contre l’OCAI, selon l’art. 78 LPGA. Cet article prévoit que les corporations de droit public, les organisations fondatrices privées et les assureurs répondent des dommages causés illicitement à un assuré ou à un tiers par leurs organes d’exécution ou par leur personnel (al. 1). L’autorité compétente rend une décision sur les demandes en réparation (al. 2). Il n’y a pas de procédure d’opposition (al. 4). Les conditions de l’action en responsabilité sont l’existence d’un dommage, un acte illicite, soit la transgression d’une norme écrite ou non écrite, et une relation de causalité adéquate entre les deux (cf. François KOLLY, OFAS, Responsabilité et recours dans la LPGA, in Journée des tribunaux cantonaux des assurances sociales consacrée à la LPGA, du 6 novembre 2002). Or, l’art 27 LPGA prévoit ce qui suit : « 1Dans les limites de leur domaine de compétence, les assureurs et les organes d’exécution des diverses assurances sociales sont tenus de renseigner les personnes</w:t>
      </w:r>
    </w:p>
    <w:p>
      <w:r>
        <w:t>A/1255/2004 - 7/8 -</w:t>
      </w:r>
    </w:p>
    <w:p>
      <w:r>
        <w:t>intéressées sur leurs droits et obligations. 2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3 Si un assureur constate qu’un assuré ou ses proches ont droit à des prestations d’autres assurances sociales, il les en informe sans retard ». Cet article de loi, inspiré de la législation allemande, est entièrement nouveau. De l’avis de la doctrine, il ne fait pas que codifier la pratique, mais il réglemente de façon nouvelle le droit des personnes intéressées d’être renseignées et conseillées dans le domaine des assurances sociales fédérales (cf. KIESER, ATSG Kommentar, p. 323 et SPIRRA, Du droit d’être renseigné et conseillé par les assureurs et les organes d’exécution des assurances sociales (art. 27 LPGS), in RSAS 2001, p. 524 et ss).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JOURNEE AIM, « Premiers problèmes d’application de la LPGA », intervention de Monsieur le Juge fédéral Ulrich MEYER, le 7 mai 2004, Lausanne). Le Tribunal fédéral des assurances n’a pas eu l’occasion d’appliquer concrètement cet article, les faits à lui soumis étant pour l’heure encore régis par l’ancien droit, mais il a d’ores et déjà renvoyé, malgré tout, s’agissant de cette question à l’article de SPIRRA cité plus haut (cf. ATFA du 14 mars 2004 cause C 120/02). Dans le cas présent, l’OCAI devra vérifier s’il a failli à son devoir d’information générale au sens de l’alinéa 1 comme à son devoir de conseil au sens de l’alinéa 2, car la recourante s’est vu adressée à l’oculariste A__________ par son ophtalmologue, et l’OCAI a pris en charge la totalité de sa facture à deux reprises, sans émettre aucune réserve. La question se pose donc de savoir si, dès la conclusion de la convention en juillet 2002, ou dès l’entrée en vigueur de la LPGA, voire à réception de l’instruction de l’OFAS par note du 17 décembre 2003, l’OCAI se devait d’informer les assurés concernés par ce moyen auxiliaire en général, et la recourante en particulier, de l’existence et du contenu de cette convention tarifaire et des ses conséquences en termes de prise en charge. La recourante a en effet subi un dommage puisque la facture de l’oculariste A__________ excède de 3'000 fr. la somme prise en charge par l’AI en application des règles légales.</w:t>
      </w:r>
    </w:p>
    <w:p>
      <w:r>
        <w:rPr>
          <w:b/>
        </w:rPr>
        <w:t>E. 6</w:t>
      </w:r>
    </w:p>
    <w:p>
      <w:r>
        <w:t>Par conséquent, le recours sera partiellement admis, la décision sur opposition litigieuse sera confirmée au sens des considérants, et le dossier renvoyé à l’OCAI pour décision sur l’action en responsabilité, qu’il est invité à rendre à bref délai.</w:t>
      </w:r>
    </w:p>
    <w:p>
      <w:r>
        <w:t>A/1255/2004 - 8/8 -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