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ATAS/411/2005 vom 11. Mai 2005</w:t>
      </w:r>
    </w:p>
    <w:p>
      <w:r>
        <w:t>GE Cour de justice, 2005-05-11, FR</w:t>
      </w:r>
    </w:p>
    <w:p>
      <w:r>
        <w:rPr>
          <w:b/>
        </w:rPr>
        <w:t xml:space="preserve">Quelle: </w:t>
      </w:r>
      <w:r>
        <w:t>https://mcp.opencaselaw.ch/entscheid/ge_gerichte_ATAS_411_2005</w:t>
      </w:r>
    </w:p>
    <w:p>
      <w:r>
        <w:t>FR: GE_GERICHTE ATAS/411/2005 du 11 mai 2005</w:t>
      </w:r>
    </w:p>
    <w:p>
      <w:r>
        <w:t>IT: GE_GERICHTE ATAS/411/2005 del 11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w:t>
      </w:r>
    </w:p>
    <w:p>
      <w:r>
        <w:rPr>
          <w:b/>
        </w:rPr>
        <w:t>E. 3</w:t>
      </w:r>
    </w:p>
    <w:p>
      <w:r>
        <w:t>La loi fédérale sur la prévoyance professionnelle vieillesse, survivants et invalidité du 25 juin 1982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En l’espèce, la défenderesse a, par contrat ayant pris effet au 1er janvier 1998, adhéré à ASPIDA, Fondation collective pour la réalisation des mesures de prévoyance à la LPP, auprès de LA SUISSE ASSURANCES. Sur la base des salaires déclarés par l’employeur, la demanderesse lui a adressé des avis de primes, dès 1998. La défenderesse ne s’est toutefois pas acquittée de la totalité des primes et, au 31 décembre 2002, un montant de 13'603 fr. 65 est demeuré impayé.</w:t>
      </w:r>
    </w:p>
    <w:p>
      <w:r>
        <w:rPr>
          <w:b/>
        </w:rPr>
        <w:t>E. 4</w:t>
      </w:r>
    </w:p>
    <w:p>
      <w:r>
        <w:t>Le litige porte sur une demande en condamnation au paiement des cotisations échues ainsi qu'une demande en mainlevée de l'opposition faite au commandement de payer, à concurrence du montant de 3'218 fr. 65, plus frais. Les décisions des autorités administratives fédérales portant condamnation à payer une somme d'argent sont exécutés par la voie de la poursuite pour dettes et sont, une fois passées en force, assimilées à des jugements exécutoires au sens de l'art. 80</w:t>
      </w:r>
    </w:p>
    <w:p>
      <w:r>
        <w:t>A/79/2005 - 4/6 -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En l'espèce, le Tribunal de céans tient pour établi qu'en sa qualité d'employeur occupant des salariés, la défenderesse était obligatoirement affiliée à la caisse de prévoyance professionnelle demanderesse, ainsi qu’il en résulte du contrat d’adhésion figurant au dossier. Il convient par ailleurs d'admettre que les décomptes de la Fondation portant sur les années 1998 à 2002 sont exacts. En effet, il ressort de l'ensemble des pièces produites par la demanderesse que la défenderesse est demeurée débitrice d'un montant de 13’603 fr. 65 correspondant aux cotisations des employés dues au 31 décembre 2002 pour les années en cause. Après les opérations de ristourne (9'145 fr. en 2003, pièce no. 14 demanderesse ; 1'240 fr. en 2004, pièce no. 15 demanderesse), le solde encore dû s’élève à 3'218 fr. 65, plus frais et accessoires. En outre, la simple passivité du débiteur, celui-ci n'ayant réagi ni aux sommations de la Fondation, ni à celles du Tribunal de céans, ne saurait empêcher la Fondation d'engager et de continuer des procédures de recouvrement afin d'obtenir la reconnaissance de ses droits (ATA J. du 5 septembre 1995).</w:t>
      </w:r>
    </w:p>
    <w:p>
      <w:r>
        <w:t>A/79/2005 - 5/6 - En ce qui concerne les frais de poursuite, ils sont d'office supportés par le débiteur lorsque la poursuite aboutit (JdT 1974 III 32). Le Tribunal de céans relève par ailleurs que la demanderesse ne conclut pas au paiement d’intérêts. Pour tous ces motifs, il y a lieu d'admettre la demande et de prononcer la mainlevée définitive de l'opposition au commandement de payer.</w:t>
      </w:r>
    </w:p>
    <w:p>
      <w:r>
        <w:rPr>
          <w:b/>
        </w:rPr>
        <w:t>E. 6</w:t>
      </w:r>
    </w:p>
    <w:p>
      <w:r>
        <w:t>S’agissant des frais et dépens de la cause, l'art. 73 al. 2 LPP précise que les cantons doivent prévoir une procédure simple, rapide et, en principe, gratuite (cf. aussi art. 89H al. 1 de la loi sur la procédure administrative du 12 septembre 1985 -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