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ATAS/410/2019 vom 16. Mai 2013</w:t>
      </w:r>
    </w:p>
    <w:p>
      <w:r>
        <w:t>GE Cour de justice, 2013-05-16, FR</w:t>
      </w:r>
    </w:p>
    <w:p>
      <w:r>
        <w:rPr>
          <w:b/>
        </w:rPr>
        <w:t xml:space="preserve">Quelle: </w:t>
      </w:r>
      <w:r>
        <w:t>https://mcp.opencaselaw.ch/entscheid/ge_gerichte_ATAS_410_2019</w:t>
      </w:r>
    </w:p>
    <w:p>
      <w:r>
        <w:t>FR: GE_GERICHTE ATAS/410/2019 du 16 mai 2013</w:t>
      </w:r>
    </w:p>
    <w:p>
      <w:r>
        <w:t>IT: GE_GERICHTE ATAS/410/2019 del 16 maggio 2013</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w:t>
      </w:r>
    </w:p>
    <w:p>
      <w:r>
        <w:t>A/1266/2019 - 5/9 - la LPGA et ses dispositions d’exécution, sont applicables par analogie en cas de silence de la législation cantonale (art. 1A LPCC).</w:t>
      </w:r>
    </w:p>
    <w:p>
      <w:r>
        <w:rPr>
          <w:b/>
        </w:rPr>
        <w:t>E. 3</w:t>
      </w:r>
    </w:p>
    <w:p>
      <w:r>
        <w:t>Le litige porte, préalablement, sur la question de la restitution de l’effet suspensif au recours, le versement des prestations au recourant ayant été supprimé, avec effet immédiat depuis le 30 septembre 2018.</w:t>
      </w:r>
    </w:p>
    <w:p>
      <w:r>
        <w:rPr>
          <w:b/>
        </w:rPr>
        <w:t>E. 4</w:t>
      </w:r>
    </w:p>
    <w:p>
      <w:r>
        <w:t>a. En vertu de l’art. 11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 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c.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Une telle requête doit être traitée sans délai (al. 2). L’art. 66 LPA prescrit que sauf disposition légale contraire, le recours a effet suspensif à moins que l'autorité qui a pris la décision attaquée n'ait ordonné</w:t>
      </w:r>
    </w:p>
    <w:p>
      <w:r>
        <w:t>A/1266/2019 - 6/9 - l'exécution nonobstant recours (al. 1). Toutefois, lorsqu’aucun intérêt public ou privé prépondérant ne s'y oppose, la juridiction de recours peut, à la demande de la partie dont les intérêts sont gravement menacés, retirer ou restituer l'effet suspensif (al. 2).</w:t>
      </w:r>
    </w:p>
    <w:p>
      <w:r>
        <w:rPr>
          <w:b/>
        </w:rPr>
        <w:t>E. 5</w:t>
      </w:r>
    </w:p>
    <w:p>
      <w:r>
        <w:t>a.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b.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w:t>
      </w:r>
    </w:p>
    <w:p>
      <w:r>
        <w:t>A/1266/2019 - 7/9 -</w:t>
      </w:r>
    </w:p>
    <w:p>
      <w:r>
        <w:rPr>
          <w:b/>
        </w:rPr>
        <w:t>E. 6</w:t>
      </w:r>
    </w:p>
    <w:p>
      <w:r>
        <w:t>En l’occurrence, le recourant requiert la restitution de l’effet suspensif à son recours, en tant que les prestations complémentaires n’ont plus été versées dès le 30 septembre 2018. Au vu de la situation financière précaire dans laquelle se trouve le recourant, l’intérêt de l’intimé à supprimer les prestations du recourant parait prépondérant, étant à craindre qu’une éventuelle procédure en restitution de prestations versées à tort ne se révèle infructueuse. S’agissant des prévisions sur l’issue du litige au fond, il y a en effet lieu de relever ce qui suit : l’intimé invoque deux motifs de suppression de ses prestations, soit, d’une part, un défaut de collaboration du recourant, d’autre part, un indice de domiciliation de celui-ci en France.</w:t>
      </w:r>
    </w:p>
    <w:p>
      <w:r>
        <w:rPr>
          <w:b/>
        </w:rPr>
        <w:t>E. 7</w:t>
      </w:r>
    </w:p>
    <w:p>
      <w:r>
        <w:t>a. Lorsque l'assuré manque à son obligation de renseigner, l'art. 43 al. 3 LPGA prévoit que l'administration est en droit de se prononcer en l'état du dossier. Elle ne peut alors se contenter d'examiner la situation sous l'angle du seul refus de collaboration de l'assuré, mais doit procéder à une évaluation du point de vue matériel à la lumière des pièces au dossier (arrêt I 988/06 du 28 mars 2007 consid. 7, in SVR 2007 IV n° 48 p. 156). Dans le contexte particulier de la révision d'une prestation en cours, une telle évaluation en application de l'art. 43 al. 3 LPGA pourrait toutefois conduire à un résultat singulier. Lorsque l'assuré ne se conformerait pas à son devoir de renseignement et que le dossier ne contiendrait aucun élément permettant d'admettre, en l’occurrence en matière d’assurance- invalidité, que l'état de santé ou d'autres circonstances déterminantes sous l'angle de l'art. 17 LPGA se seraient modifiés, l'absence d'informations aurait pour résultat que l'administration ne pourrait réduire ou supprimer la prestation. En d'autres termes, l'absence de collaboration de l'assuré n'entraînerait, dans le cadre particulier de la révision d'une rente d'invalidité, aucune conséquence défavorable pour lui (dans ce sens, MARKUS KRAPF, Selbsteingliederung und Sanktion in der 5. IV- Revision, RSAS 2008 p. 122 ss, p. 143). Une telle solution n'est cependant pas admissible, dès lors qu'elle permettrait à un assuré d'éviter la réduction ou la suppression de sa rente, en refusant toute collaboration avec l'administration, laquelle serait empêchée d'élucider les faits conduisant, le cas échéant, à la diminution ou la suppression des prestations. L'application de l'art. 43 al. 3 LPGA dans un cas où des prestations sont en cours et où l'assuré qui les perçoit refuse de manière inexcusable de se conformer à son devoir de renseigner ou de collaborer à l'instruction de la procédure de révision, empêchant par-là que l'organe d'exécution de l'assurance-invalidité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w:t>
      </w:r>
    </w:p>
    <w:p>
      <w:r>
        <w:t>A/1266/2019 - 8/9 - fardeau de la preuve (cf. consid. 2.2 non publié de l'ATF 129 III 181; HANS PETER WALTER, Beweis und Beweislast im Haftpflichtprozessrecht, in Haftpflichtprozess 2009, p. 47 ss, p. 58). Il appartient alors à l'assuré d'établir que son état de santé, ou d'autres circonstances déterminantes, n'ont pas subi de modifications susceptibles de changer le taux d'invalidité qu'il présente. Appliquée en matière de prestations complémentaire, cette jurisprudence implique que, pour continuer à recevoir des prestations, le bénéficiaire doit collaborer en établissant qu’il remplit les conditions du droit. b. En l’occurrence, au jour de la décision litigieuse, le 27 février 2019, la chambre de céans constate que le recourant avait finalement fourni toutes les pièces requises par l’intimé le 20 juin 2018, soit le montant de la rente étrangère qu’il recevait, ainsi que son compte auprès de la Banque populaire de France, pièces envoyées les 19 décembre 2018 et 2 janvier 2019 au SPC. S’agissant de sa participation au loyer de l’appartement, le recourant a fourni le 3 juillet 2018 une attestation d’un loyer pour l’appartement dont le bail est au nom de sa compagne, Mme B______, étant relevé qu’il avait déjà indiqué au SPC le 14 mai 2013 qu’il réglait à Mme B______ sa participation au loyer de CHF 800.- par mois, de main à main, sans avoir jamais fourni aucune pièce justificative de ces paiements. Contrairement à l’avis de l’intimé, des pièces supplémentaires n’étaient donc pas nécessaires, le recourant devant éventuellement supporter l’absence de preuve de sa participation au loyer, s’il ne transmet pas de pièce prouvant celle-ci. Le recourant a d’ailleurs par la suite, dans son recours du 28 mars 2019, confirmé qu’il ne possédait pas de trace de sa participation au loyer, et confirmé que l’argent était remis en main propre à Mme B______. En conséquence, au 27 février 2019, l’intimé était à même de statuer sur le droit du recourant à des prestations complémentaires, compte tenu des nouveaux éléments au dossier. Dans cette mesure, la suppression totale du droit aux prestations du recourant, au motif qu’il n’avait pas collaboré n’apparait, avec certitude, pas justifiée.</w:t>
      </w:r>
    </w:p>
    <w:p>
      <w:r>
        <w:rPr>
          <w:b/>
        </w:rPr>
        <w:t>E. 8</w:t>
      </w:r>
    </w:p>
    <w:p>
      <w:r>
        <w:t>L’intimé invoque encore des éléments au dossier mettant en doute le domicile genevois du recourant. A cet égard en revanche, les prévisions sur l’issue du litige quant au domicile du recourant ne sauraient faire aucun doute, au vu de l’existence d’un bail à loyer d’un studio en France, pour un montant mensuel de 580.- EUR payé par le recourant. Dans cette mesure, la suppression des prestations pendant la durée de la procédure apparait justifiée et la demande de restitution de l’effet suspensif au recours sera rejetée.</w:t>
      </w:r>
    </w:p>
    <w:p>
      <w:r>
        <w:t>A/1266/2019 - 9/9 -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