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ATAS/410/2018 vom 15. Mai 2018</w:t>
      </w:r>
    </w:p>
    <w:p>
      <w:r>
        <w:t>GE Cour de justice, 2018-05-15, FR</w:t>
      </w:r>
    </w:p>
    <w:p>
      <w:r>
        <w:rPr>
          <w:b/>
        </w:rPr>
        <w:t xml:space="preserve">Quelle: </w:t>
      </w:r>
      <w:r>
        <w:t>https://mcp.opencaselaw.ch/entscheid/ge_gerichte_ATAS_410_2018</w:t>
      </w:r>
    </w:p>
    <w:p>
      <w:r>
        <w:t>FR: GE_GERICHTE ATAS/410/2018 du 15 mai 2018</w:t>
      </w:r>
    </w:p>
    <w:p>
      <w:r>
        <w:t>IT: GE_GERICHTE ATAS/410/2018 del 15 maggio 2018</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La LPGA, entrée en vigueur le 1er janvier 2003, est applicable.</w:t>
      </w:r>
    </w:p>
    <w:p>
      <w:r>
        <w:rPr>
          <w:b/>
        </w:rPr>
        <w:t>E. 3</w:t>
      </w:r>
    </w:p>
    <w:p>
      <w:r>
        <w:t>Le recours a été transmis à la chambre de céans comme objet de sa compétence par la Cour des assurances sociales du Tribunal cantonal vaudois.</w:t>
      </w:r>
    </w:p>
    <w:p>
      <w:r>
        <w:rPr>
          <w:b/>
        </w:rPr>
        <w:t>E. 4</w:t>
      </w:r>
    </w:p>
    <w:p>
      <w:r>
        <w:t>Déposé dans le délai et la forme requis, le recours est recevable (art. 56ss LPGA).</w:t>
      </w:r>
    </w:p>
    <w:p>
      <w:r>
        <w:t>A/4522/2016 - 5/9 -</w:t>
      </w:r>
    </w:p>
    <w:p>
      <w:r>
        <w:rPr>
          <w:b/>
        </w:rPr>
        <w:t>E. 5</w:t>
      </w:r>
    </w:p>
    <w:p>
      <w:r>
        <w:t>Le litige porte sur le droit de la caisse-maladie de réclamer à l’intéressé le paiement des primes d’assurance-maladie de janvier à juin 2011, plus particulièrement sur le point de savoir si celui-ci, durant cette période, était domicilié en Suisse et, partant, affilié à l’assurance-maladie obligatoire.</w:t>
      </w:r>
    </w:p>
    <w:p>
      <w:r>
        <w:rPr>
          <w:b/>
        </w:rPr>
        <w:t>E. 6</w:t>
      </w:r>
    </w:p>
    <w:p>
      <w:r>
        <w:t>a. Aux termes de l'art. 3 LAMal, toute personne domiciliée en Suisse doit s'assurer pour les soins en cas de maladie, ou être assurée par son représentant légal, dans les trois mois qui suivent sa prise de domicile ou sa naissance en Suisse (al. 1). Le Conseil fédéral peut excepter de l'assurance obligatoire certaines catégories de personnes, notamment les personnes bénéficiaires de privilèges, d'immunités et de facilités visées à l'art. 2, al. 2, de la loi du 22 juin 2007 sur l'État hôte (al. 2). L’art. 1 al. 1 de l’ordonnance sur l'assurance-maladie du 27 juin 1995 (OAMal - RS 832.102) précise que les personnes domiciliées en Suisse au sens des art. 23 à 26 du Code civil suisse du 10 décembre 1907 (CC - RS 210) sont tenues de s’assurer conformément à l’art. 3 de la loi. Selon l’art. 13 LPGA applicable en vertu de l’art. 1 LAMal, le domicile d'une personne est déterminé selon les art. 23 à 26 al. 1 CC; une personne est réputée avoir sa résidence habituelle au lieu où elle séjourne un certain temps même si la durée de ce séjour est d'emblée limitée (al. 2). Le domicile de toute personne est au lieu où elle réside avec l'intention de s'y établir. Le séjour dans une institution de formation ou le placement dans un établissement d'éducation, un hôpital ou une maison de détention ne constitue pas en soi le domicile. (art. 23 al. 1 CC). C'est le domicile volontaire, librement choisi par la personne indépendante (arrêt du Tribunal fédéral 9C_188/2008 du 10 juin 2009 consid. 4.1). Toute personne conserve son domicile aussi longtemps qu'elle ne s'en est pas créé un nouveau (art. 24 al. 1 CC ; ATF 127 V 237 consid. 1).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 b. Ces dispositions légales distinguent le lieu de séjour du domicile. Le lieu de séjour est celui où une personne se trouve pour un motif déterminé et limité, qui n'implique pas l'intention d'y fixer le centre de son existence. Le lieu de séjour devient le domicile, dès qu'il existe entre ce lieu et la personne qui y réside un lien fixe, étroit, fondé sur l'intention de s'y établir (arrêt du Tribunal fédéral 1P.867/2005 du 4 avril 2006 consid 2.1). La définition du domicile comporte deux éléments cumulatifs : l'un objectif, la résidence dans un lieu donné, soit un séjour d'une certaine durée et la création en ce lieu de rapports assez étroits; l'autre subjectif,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(ATF 141 V 530</w:t>
      </w:r>
    </w:p>
    <w:p>
      <w:r>
        <w:t>A/4522/2016 - 6/9 - consid. 5.2). Le domicile d'une personne se trouve ainsi au lieu avec lequel elle a les relations les plus étroites, compte tenu de l'ensemble des circonstances (ATF 136 II 405 consid. 4.3; ATF 127 V 237 consid. 2c). Cependant, l'intention d'une personne de s'établir durablement en un lieu déterminé ne doit pas être examinée de façon subjective, au regard de sa volonté interne, mais à la lumière des circonstances objectives, reconnaissables pour les tiers, permettant de conclure à l'existence d'une telle intention (ATF 127 V 237 consid. 1; ATF 125 III 100 consid. 3; ATF 120 III 7 consid. 2b et les références).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ATF 136 II 405 consid. 4.3 et les références). Dans la mesure ou la résidence suppose un séjour d’une certaine durée dans un endroit donne et la création en ce lieu de rapports assez étroits (ATF 9C_283/2015 du 11 septembre 2015), l’occupation d’un studio une à deux fois par semaine - le reste du temps étant passé à l’étranger - ne suffit pas à établir une résidence effective en Suisse (arrêt du Tribunal fédéral C 226/02 du 26 mai 2003 , Boris RUBIN, Assurance-chômage, 2eme éd 2006, p 173). De même un séjour tout à fait éphémère ou de pur hasard, ainsi qu’un pied-à-terre destine uniquement à la recherche d’un emploi, ne sont pas assimilables à une résidence. Cela étant, un séjour prolongé et permanent n’est pas indispensable (arrêt du Tribunal fédéral 8G_270/2007 du 7 décembre 2007 consid 2 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C153/03 du 22 septembre 2003). Le fait d’avoir une adresse officielle en Suisse et d’y payer ses impôts n’est pas déterminant si d’autres indices permettent de conclure à l’existence d’une résidence habituelle à l’étranger (arrêt du Tribunal fédéral G 149/01 du 13 mars 2002 consid. 3).</w:t>
      </w:r>
    </w:p>
    <w:p>
      <w:r>
        <w:rPr>
          <w:b/>
        </w:rPr>
        <w:t>E. 7</w:t>
      </w:r>
    </w:p>
    <w:p>
      <w:r>
        <w:t>Lorsqu'une disposition en matière d'assurances sociales renvoie à une notion de droit civil, celle-ci devient partie intégrante du droit des assurances sociales. Le cas échéant, une telle notion peut cependant avoir un sens différent du droit civil.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(arrêt du Tribunal fédéral 9C_188/2008 du</w:t>
      </w:r>
    </w:p>
    <w:p>
      <w:r>
        <w:rPr>
          <w:b/>
        </w:rPr>
        <w:t>E. 10</w:t>
      </w:r>
    </w:p>
    <w:p>
      <w:r>
        <w:t>Le recours est rejeté.</w:t>
      </w:r>
    </w:p>
    <w:p>
      <w:r>
        <w:t>A/4522/2016 - 9/9 -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