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ATAS/40/2018 vom 22. Januar 2018</w:t>
      </w:r>
    </w:p>
    <w:p>
      <w:r>
        <w:t>GE Cour de justice, 2018-01-22, FR</w:t>
      </w:r>
    </w:p>
    <w:p>
      <w:r>
        <w:rPr>
          <w:b/>
        </w:rPr>
        <w:t xml:space="preserve">Quelle: </w:t>
      </w:r>
      <w:r>
        <w:t>https://mcp.opencaselaw.ch/entscheid/ge_gerichte_ATAS_40_2018</w:t>
      </w:r>
    </w:p>
    <w:p>
      <w:r>
        <w:t>FR: GE_GERICHTE ATAS/40/2018 du 22 janvier 2018</w:t>
      </w:r>
    </w:p>
    <w:p>
      <w:r>
        <w:t>IT: GE_GERICHTE ATAS/40/2018 del 22 gennaio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RS/GE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U_18/07 du</w:t>
      </w:r>
    </w:p>
    <w:p>
      <w:r>
        <w:rPr>
          <w:b/>
        </w:rPr>
        <w:t>E. 7</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(art. 23 OPC-AVS/AI al. 1). La prestation complémentaire annuelle doit toujours être calculée compte tenu des rentes, pensions et autres prestations périodiques en cours (al. 3).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t>A/3740/2017 - 9/12 -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ans (let. b). Cette déduction s’applique même si la personne n’habite pas le bien immobilier dont elle est propriétaire (ATAS/1122/2013 du 19 novembre 2013 consid. 16a et les références citées). Il n’est dès lors pas possible de se fonder sur les frais effectifs d’entretien des immeubles. La déduction forfaitaire des frais d’entretien s’applique même si l’immeuble n’est pas situé dans le canton (ATAS/1122/2013 du 19 novembre 2013consid. 16b). d. Pour la période dès le 1er novembre 2016, dès lors que le 7 novembre 2016 le recourant a fait donation à son fils de son bien immobilier dont il était propriétaire en Turquie, c’est à bon droit que l’intimé a tenu compte d’un bien dessaisi dans le calcul du revenu déterminant du recourant, ce qu’il ne conteste d’ailleurs pas. Il critique par contre la valeur retenue pour le motif exposé au consid. 10a ci-dessus, et a versé au dossier le document « déclaration de la taxe foncière » sur lequel le notaire a apposé sa signature le 8 septembre 2017 et aux termes duquel la valeur réelle était de TRY 99'000.- en 2016. Ce document, qui ne vaut pas estimation officielle, n’est cependant pas probant. Le simple fait qu’un notaire ait signé ledit document, laissant à penser qu’il confirme les données fiscales mentionnées, ne signifie pas qu’il avait évalué le bien immobilier. Le même raisonnement s’applique s’agissant de la valeur réelle figurant dans le document fiscal pour l’année 2017 (TRY 104'000.-), confirmée dans un rapport d’expertise du 12 septembre 2017. Certes, le Tribunal fédéral n'a pas établi de conditions de validité formelle auxquelles doivent satisfaire les expertises sur des biens immobiliers afin de se voir reconnaître valeur probante dans les litiges en matière d'assurances sociales (ATAS/191/2016 du 8 mars 2016 consid. 17 ; ATAS/251/2014 du 4 mars 2014 consid. 13c). Si une évaluation par une agence immobilière peut se révéler suffisante, force est en l’espèce de constater que le rapport d’expertise susvisé est sujet à caution, puisqu’il est lacunaire. En effet, on ignore sur quels éléments l’expert s’est basé pour attester la valeur fiscale du bien, étant relevé qu’il n’a pas spécifié le prix de vente de biens immobiliers comparables dans la région considérée, ni produit de photographies. En conséquence, conformément à son obligation de collaborer, le recourant devra communiquer à l’intimé l’estimation officielle (dûment détaillée) de la valeur du bien immobilier au 7 novembre 2016, soit au moment du dessaisissement.</w:t>
      </w:r>
    </w:p>
    <w:p>
      <w:r>
        <w:rPr>
          <w:b/>
        </w:rPr>
        <w:t>E. 11</w:t>
      </w:r>
    </w:p>
    <w:p>
      <w:r>
        <w:t>Au vu des développements qui précèdent, il convient de renvoyer la cause à la l’intimé pour qu'il fasse procéder à une estimation officielle, puis statue à nouveau sur le droit aux prestations complémentaires prétendues. Par conséquent, le recours est partiellement admis, et la décision du 9 août 2017 annulée.</w:t>
      </w:r>
    </w:p>
    <w:p>
      <w:r>
        <w:rPr>
          <w:b/>
        </w:rPr>
        <w:t>E. 12</w:t>
      </w:r>
    </w:p>
    <w:p>
      <w:r>
        <w:t>Le recourant, représenté par CARITAS, obtenant partiellement gain de cause, une indemnité de CHF 800.- lui sera accordée à titre de participation à ses frais et dépens (art. 61 let. g LPGA; art. 6 du règlement sur les frais, émoluments et</w:t>
      </w:r>
    </w:p>
    <w:p>
      <w:r>
        <w:t>A/3740/2017 - 11/12 - indemnités en matière administrative, du 30 juillet 1986 [RFPA – RS/GE E 5 10.03] ; ATF 126 V 11 consid. 2). Pour le surplus, la procédure est gratuite (art. 61 let. a LPGA).</w:t>
      </w:r>
    </w:p>
    <w:p>
      <w:r>
        <w:t>A/3740/2017 - 12/12 -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