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ATAS/40/2017 vom 24. Januar 2017</w:t>
      </w:r>
    </w:p>
    <w:p>
      <w:r>
        <w:t>GE Cour de justice, 2017-01-24, FR</w:t>
      </w:r>
    </w:p>
    <w:p>
      <w:r>
        <w:rPr>
          <w:b/>
        </w:rPr>
        <w:t xml:space="preserve">Quelle: </w:t>
      </w:r>
      <w:r>
        <w:t>https://mcp.opencaselaw.ch/entscheid/ge_gerichte_ATAS_40_2017</w:t>
      </w:r>
    </w:p>
    <w:p>
      <w:r>
        <w:t>FR: GE_GERICHTE ATAS/40/2017 du 24 janvier 2017</w:t>
      </w:r>
    </w:p>
    <w:p>
      <w:r>
        <w:t>IT: GE_GERICHTE ATAS/40/2017 del 24 gennaio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de l’assurée à des indemnités journalières LAA au-delà du 1er février 2015.</w:t>
      </w:r>
    </w:p>
    <w:p>
      <w:r>
        <w:rPr>
          <w:b/>
        </w:rPr>
        <w:t>E. 4</w:t>
      </w:r>
    </w:p>
    <w:p>
      <w:r>
        <w:t>La chambre de céans doit toutefois se prononcer préalablement sur la requête de suspension de la procédure.</w:t>
      </w:r>
    </w:p>
    <w:p>
      <w:r>
        <w:rPr>
          <w:b/>
        </w:rPr>
        <w:t>E. 5</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w:t>
      </w:r>
    </w:p>
    <w:p>
      <w:r>
        <w:rPr>
          <w:b/>
        </w:rPr>
        <w:t>E. 6</w:t>
      </w:r>
    </w:p>
    <w:p>
      <w:r>
        <w:t>Comme le Tribunal fédéral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LPGA. qu'en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de</w:t>
      </w:r>
    </w:p>
    <w:p>
      <w:r>
        <w:t>A/2156/2016 - 5/6 - partialité ou de subjectivité, ou encore qu’elle résulte d’une simple transaction conclue avec l’assuré (arrêt du Tribunal fédéral I 50/04 du 30 novembre 2004). En tout état, l’OAI ne saurait être lié par l’évaluation de l’invalidité faite par l’assureur-accidents (arrêt du Tribunal fédéral 9C_751/2007 du 8 août 2008).</w:t>
      </w:r>
    </w:p>
    <w:p>
      <w:r>
        <w:rPr>
          <w:b/>
        </w:rPr>
        <w:t>E. 7</w:t>
      </w:r>
    </w:p>
    <w:p>
      <w:r>
        <w:t>En l’espèce, il se justifie, au vu de ce qui précède, de suspendre la présente cause, jusqu’à droit connu en matière d’assurance-invalidité. Il sera sans aucun doute utile en effet de connaître l’évaluation de l’invalidité en matière d’AI suite à l’arrêt de la chambre de céans du 30 juin 2015, pour trancher la question du droit aux indemnités journalières LAA au-delà du 1er février 2015, ce d’autant plus que l’assureur s’est fondé sur les conclusions de l’OAI pour rendre ses décisions des 14 janvier 2015 et 26 mai 2016. L’opposition de l’assurée à la proposition de suspension de l’assureur apparaît à cet égard d’autant plus incompréhensible qu’elle reproche à l’OAI de n’avoir procédé à aucune nouvelle expertise dans le cadre du complément d’instruction ordonné par la chambre de céans le 30 juin 2015, et à l’assureur, de n’avoir entrepris aucune nouvelle instruction concernant sa capacité de travail en raison de son accident dans son activité habituelle, ni cherché à estimer quelle était sa capacité de travail résiduelle dans une activité adaptée. L’assurée indique au surplus que le Dr C______ a estimé qu’une expertise était nécessaire pour déterminer quelle était sa capacité de travail résiduelle. Force est ainsi de constater qu’elle admet elle- même que son dossier s’agissant plus particulièrement de sa capacité de travail, est en l’état lacunaire.</w:t>
      </w:r>
    </w:p>
    <w:p>
      <w:r>
        <w:rPr>
          <w:b/>
        </w:rPr>
        <w:t>E. 8</w:t>
      </w:r>
    </w:p>
    <w:p>
      <w:r>
        <w:t>La demande de suspension est admise.</w:t>
      </w:r>
    </w:p>
    <w:p>
      <w:r>
        <w:t>A/2156/2016 - 6/6 -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