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ATAS/40/2012 vom 24. Januar 2012</w:t>
      </w:r>
    </w:p>
    <w:p>
      <w:r>
        <w:t>GE Cour de justice, 2012-01-24, FR</w:t>
      </w:r>
    </w:p>
    <w:p>
      <w:r>
        <w:rPr>
          <w:b/>
        </w:rPr>
        <w:t xml:space="preserve">Quelle: </w:t>
      </w:r>
      <w:r>
        <w:t>https://mcp.opencaselaw.ch/entscheid/ge_gerichte_ATAS_40_2012</w:t>
      </w:r>
    </w:p>
    <w:p>
      <w:r>
        <w:t>FR: GE_GERICHTE ATAS/40/2012 du 24 janvier 2012</w:t>
      </w:r>
    </w:p>
    <w:p>
      <w:r>
        <w:t>IT: GE_GERICHTE ATAS/40/2012 del 24 gennaio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t>A/3846/2011 - 4/7 - Déposé dans les forme et délai prévus par la loi, le présent recours est recevable (art. 60 LPGA).</w:t>
      </w:r>
    </w:p>
    <w:p>
      <w:r>
        <w:rPr>
          <w:b/>
        </w:rPr>
        <w:t>E. 3</w:t>
      </w:r>
    </w:p>
    <w:p>
      <w:r>
        <w:t>Le litige porte sur la créance de la caisse contre l'assurée en paiement de 120 fr. de frais de sommation et de 60 fr. de frais d'ouverture de dossier, la recourante ne contestant pas être redevable des autres sommes réclamées, soit 188 fr. 70 ,103 fr. 30, 156 fr. et 27 fr. 50, de participations aux frais de maladie selon 4 relevés distincts. Elle considère les frais administratifs disproportionnées, qui doivent selon elle être assimilés à un "enrichissement éhonté".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w:t>
      </w:r>
    </w:p>
    <w:p>
      <w:r>
        <w:t>A/3846/2011 - 5/7 -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Au vu de ce qui précède, l'intimée, qui a respecté la procédure prescrite pour le recouvrement de ses créances, était habilitée à lever elle-même l'opposition formée au commandement de payer. 4.a) S'agissant plus particulièrement des frais administratifs, l'assureur maladie peut réclamer le paiement dans une mesure appropriée des frais de sommation et des frais supplémentaires causés par le retard de l'assuré (ATF 125 V 276).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(ATFA non publié du 29 janvier 2003, K 28/02, consid. 5). Les frais administratifs perçus par l'assureur doivent se situer "dans une mesure appropriée" (art. 105b al. 3 OAMal).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il est incontestable, sur le principe, que la caisse est en droit de poursuivre la recourante pour le montant des frais occasionnés par son retard. En effet, l'art. 3 des conditions générales complémentaires à l'assurance obligatoire des soins prévoit que l'intimée peut percevoir un intérêt moratoire, ainsi que les frais administratifs notamment pour établir les rappels, les sommations et pour engager</w:t>
      </w:r>
    </w:p>
    <w:p>
      <w:r>
        <w:t>A/3846/2011 - 6/7 - des poursuites. La recourante ne s'est pas acquittée des sommes dues malgré un rappel et une sommation pour chaque facture de sorte qu'il faut considérer qu'elle a occasionné fautivement les frais administratifs. Au demeurant, le fait que la situation contractuelle était peu claire durant le 1er semestre de 2010, la résiliation du contrat ayant été admise le 5 août 2010 avec effet rétroactif au 1er janvier 2010, ne dispensait pas l'assurée de payer les sommes réclamées, dès lors que, s'agissant des trois premières factures citées, la caisse avait déjà payé les prestations en question et était donc légitimée à réclamer la participation due. Les frais y afférents sont donc également dus. Pour ce qui est de la quatrième facture de pharmacie payée par la caisse, alors que la résiliation avait été admise, l'intimée était fondée à réclamer le remboursement de toute la facture (et pas seulement une participation), l'assurée disposant du temps nécessaire pour l'adresser à sa nouvelle caisse, entre la facture du 27 septembre et le rappel du 17 novembre 2010, afin d'éviter les frais de rappel et de sommation. Reste à examiner si la somme de 30 fr. retenue à titre de frais de sommation pour chaque facture et celle de 60 fr. pour l’ouverture du dossier sont excessives, comme le soutient la recourante. La Cour de céans a considéré le montant de 100 fr., réclamé à titre de frais de dossier, dans un cas où la créance en souffrance était de 140 fr. 50 comme "dépassant ce qui était raisonnablement exigible", réduisant ces frais à 70 fr. (ATAS 1034/2007). Usuellement, les assurances perçoivent des frais administratifs entre 20 fr. et 80 fr. (cf. ATAS 964/2010, ATAS 524/2008; cf. aussi ATF np K_1/04 du 6 août 2004). En l’espèce, pour chaque facture en souffrance, les frais de rappel (10 fr.) et de sommation (30 fr.) ont totalisé 40 fr. C’est lors de la réquisition de poursuite seulement que la caisse a ajouté 60 fr. de frais d’ouverture de dossier. Il est indéniable que le retard de paiement a contraint l'assurance à déployer une activité de rappel et de recouvrement, qui est toutefois standardisée et ne nécessite pas un grand travail. Au regard de la casuistique relevée il faut admettre que des frais de rappel et de sommation de 160 fr. pour un montant en souffrance de 475 fr. 50, compte tenu du fait qu’il s’agissait de 4 factures distinctes, soit 40 fr. par facture à recouvrer, n’est pas excessif. Il en va de même des frais d’ouverture du dossier au stade de la poursuite pour les 4 factures. Les frais de sommation de 120 fr, ajoutés aux frais de rappel de 40 fr, ainsi que ceux d’ouverture de dossier de 60 fr. ne paraissent pas, dans le cas particulier, excessifs et ne procurent à la caisse aucun enrichissement, de sorte qu'il n’y a pas lieu de les réduire. Pour le surplus, la recourante ne conteste plus les frais de poursuite.</w:t>
      </w:r>
    </w:p>
    <w:p>
      <w:r>
        <w:rPr>
          <w:b/>
        </w:rPr>
        <w:t>E. 6</w:t>
      </w:r>
    </w:p>
    <w:p>
      <w:r>
        <w:t>Le recours, mal fondé, est rejeté et la procédure est gratuite.</w:t>
      </w:r>
    </w:p>
    <w:p>
      <w:r>
        <w:t>A/3846/2011 - 7/7 -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