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ATAS/409/2024 vom 6. Juni 2024</w:t>
      </w:r>
    </w:p>
    <w:p>
      <w:r>
        <w:t>GE Cour de justice, 2024-06-06, FR</w:t>
      </w:r>
    </w:p>
    <w:p>
      <w:r>
        <w:rPr>
          <w:b/>
        </w:rPr>
        <w:t xml:space="preserve">Quelle: </w:t>
      </w:r>
      <w:r>
        <w:t>https://mcp.opencaselaw.ch/entscheid/ge_gerichte_ATAS_409_2024</w:t>
      </w:r>
    </w:p>
    <w:p>
      <w:r>
        <w:t>FR: GE_GERICHTE ATAS/409/2024 du 6 juin 2024</w:t>
      </w:r>
    </w:p>
    <w:p>
      <w:r>
        <w:t>IT: GE_GERICHTE ATAS/409/2024 del 6 giugno 2024</w:t>
      </w:r>
    </w:p>
    <w:p>
      <w:pPr>
        <w:pStyle w:val="Heading2"/>
      </w:pPr>
      <w:r>
        <w:t>Erwägungen</w:t>
      </w:r>
    </w:p>
    <w:p>
      <w:r>
        <w:rPr>
          <w:b/>
        </w:rPr>
        <w:t>E. 24</w:t>
      </w:r>
    </w:p>
    <w:p>
      <w:r>
        <w:t>septembre 2021 au 31 mars 2024 et qu’elle était de 50% dans une activité adaptée dès le 1er avril 2024. Par conséquent, il se justifiait d’octroyer une rente entière d’invalidité fondée sur un degré de 100% d’invalidité dès le 1er septembre 2022, puis 65% d’une rente entière d’invalidité dès le 1er juillet 2024 en se fondant sur une feuille de calcul de comparaison des revenus qui était jointe à la détermination. Le salaire avec invalidité avait été établi en se fondant sur le tableau ESS 2020, TA1 tirage skill level, pour un homme, tous domaines confondus, avec une durée hebdomadaire de 41.7 h et en indexant le montant du</w:t>
      </w:r>
    </w:p>
    <w:p>
      <w:r>
        <w:t>A/1693/2023 - 8/16 - salaire selon l’ISS. Il en résultait un salaire après indexation de CHF 65'969.-, dont il fallait retrancher 50%, au vu de la capacité de travail retenue par l’expert, puis appliquer une réduction forfaitaire de 20%, ce qui aboutissait à un revenu annuel brut avec invalidité de CHF 26'388.-. Le salaire sans invalidité à 100% était fixé à CHF 74'830.-. La perte de gain subie s’élevait à CHF 48’442.-, ce qui équivalait à un taux d’invalidité de 64.74% arrondi à 65%. j. Sur ce, la cause a été gardée à juger, ce dont les parties ont été informées. k. Les autres faits et documents seront mentionnés, en tant que de besoin, dans la partie « en droit » du présent arrêt.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56 LPGA ; art. 62 al. 1 de la loi sur la procédure administrative du 12 septembre 1985 [LPA - E 5 10]). Interjeté dans la forme et le délai prévus par la loi, le recours est recevable. 3. Le litige porte sur le bien-fondé de la décision du 14 avril 2023, octroyant une rente entière ordinaire du 1er septembre 2022 jusqu’au 31 mars 2023, puis mettant fin à cette rente au motif que le recourant dispose à nouveau d’une capacité de travail de 100% dans une activité adaptée. 4. La LPGA s’applique par renvoi de l’art. 1 al. 1 LAI.</w:t>
      </w:r>
    </w:p>
    <w:p>
      <w:r>
        <w:t>Le 1er janvier 2022 sont entrées en vigueur les modifications de la LAI du 19 juin 2020 (développement continu de l’AI ; RO 2021 705)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les faits déterminants sont postérieurs au 1er janvier 2022, de sorte que les dispositions légales applicables seront citées dans leur teneur actuelle.</w:t>
      </w:r>
    </w:p>
    <w:p>
      <w:r>
        <w:t>5.</w:t>
      </w:r>
    </w:p>
    <w:p>
      <w:r>
        <w:t>A/1693/2023 - 9/16 -</w:t>
      </w:r>
    </w:p>
    <w:p>
      <w:r>
        <w:t>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5.2 En vertu de l’art. 28b al. 1 LAI, la quotité de la rente est fixée en pourcentage d’une rente entière. Pour un taux d’invalidité compris entre 50 et 69%, la quotité de la rente correspond au taux d’invalidité (al. 2) ; pour un taux d’invalidité supérieur ou égal à 70%, l’assuré a droit une rente entière (al. 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5.3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w:t>
      </w:r>
    </w:p>
    <w:p>
      <w:r>
        <w:t>6.1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w:t>
      </w:r>
    </w:p>
    <w:p>
      <w:r>
        <w:t>A/1693/2023 - 10/16 - médicales constituent un élément utile pour déterminer quels travaux on peut encore, raisonnablement, exiger de l’assuré (ATF 125 V 256 consid. 4 et les références). 6.2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w:t>
      </w:r>
    </w:p>
    <w:p>
      <w:r>
        <w:t>A/1693/2023 - 11/16 - 9C_542/2011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7.</w:t>
      </w:r>
    </w:p>
    <w:p>
      <w:r>
        <w:t>7.1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A/1693/2023 - 12/16 - probables (ATF 130 III 321 consid. 3.2 et 3.3 ; ATF 126 V 353 consid. 5b ; ATF 125 V 193 consid. 2 et les références). Aussi n’existe-t-il pas, en droit des assurances sociales, un principe selon lequel l’administration ou le juge devrait statuer, dans le doute, en faveur de l’assuré (ATF 135 V 39 consid. 6.1 et la référence).</w:t>
      </w:r>
    </w:p>
    <w:p>
      <w:r>
        <w:t>7.2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8. 8.1 En l’espèce, les parties s’accordent à considérer que l’expertise du Dr F______ est convaincante et que ses conclusions doivent être retenues. L’OAI a appliqué le taux de capacité retenu par le Dr F______ et a produit de nouveaux calculs de comparaison des revenus, aboutissant à l’octroi d’une rente selon un taux d’invalidité de 65%, qui avait été nié dans la décision querellée. La chambre de céans est d’avis que le rapport de l’expert F______ correspond en tous points aux exigences en la matière. Il a été établi en parfaite connaissance du dossier médical, dont les pièces sont énumérées et commentées. Le rapport contient, en outre, une anamnèse familiale, psychosociale et professionnelle complète et l’expert a rapporté ses observations cliniques de manière détaillée à la suite d’un entretien approfondi avec l’assuré, par le biais d’un traducteur en langue portugaise. Les diagnostics retenus sont soigneusement motivés et le Dr F______ a établi les limitations fonctionnelles en classant les diagnostics en trois catégories, soit premièrement les troubles somatiques liés à une coxarthrose gauche sévère, deuxièmement les troubles du rachis et troisièmement les troubles liés à la rupture de la coiffe des rotateurs de l’épaule gauche. L’expert bien analysé la capacité de gain du recourant à la lumière des indicateurs développés par la jurisprudence. Il a,</w:t>
      </w:r>
    </w:p>
    <w:p>
      <w:r>
        <w:t>A/1693/2023 - 13/16 - en outre, exposé de manière convaincante pour quelles raisons il se ralliait aux avis des autres intervenants ou au contraire s’en écartait, exposant notamment qu’il était d’accord avec les limitations fonctionnelles retenues par les médecins du SMR (avis du SMR du 3 janvier 2023) mais qu’il n’en tirait pas les mêmes conclusions quant à l’estimation de la capacité de travail ; en effet, le SMR n’avait pas tenu compte de la relation clinique entre les trois diagnostics que l’expert explicitait dans sa propre appréciation clinique. Les conclusions du rapport sont, elles aussi, claires et motivées. Compte tenu de ce qui précède, la chambre de céans fait siennes les conclusions du rapport d’expertise, qui présente une pleine valeur probante, soit une capacité de travail nulle dans l’activité habituelle, dès le 24 septembre 2021 et de 50% dans une activité adaptée aux restrictions fonctionnelles, dès le 1er avril 2024, étant précisé que cette conclusion n’est pas contestée par les parties.</w:t>
      </w:r>
    </w:p>
    <w:p>
      <w:r>
        <w:t>8.2 Le recourant conteste le calcul qui est effectué par l’OAI au motif qu’une déduction forfaitaire de 20% doit s’ajouter à la réduction de 50% due à la capacité de travail partielle, ce qui aboutit, selon ses calculs, à une perte de gain équivalent à un taux d’invalidité de 73%, donnant droit à une rente entière.</w:t>
      </w:r>
    </w:p>
    <w:p>
      <w:r>
        <w:t>Cette déduction de 20% découle d’une modification de l’art. 26 bis al. 3 RAI, qui prévoit que : « 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 La modification de l’art. 26 bis al. 3 RAI fait suite à la mise en œuvre de la motion CSSS-n 22.3377 « utiliser des barèmes de salaires correspondant à l’invalidité dans le calcul du taux d’invalidité ».</w:t>
      </w:r>
    </w:p>
    <w:p>
      <w:r>
        <w:t>La motion a été introduite après constatation, d’une part, que les barèmes salariaux ESS reflètent dans une large mesure le niveau de salaire des personnes sans atteintes à la santé et, en comparaison, les salaires des personnes atteintes dans leur santé sont systématiquement très inférieurs et d’autre part, que d’importants facteurs ayant un impact sur le salaire tels que le niveau de formation, l’âge, la nationalité, le nombre d’années de service, la branche économique et la grande région ne sont pas pris en considération.</w:t>
      </w:r>
    </w:p>
    <w:p>
      <w:r>
        <w:t>Le nouveau calcul du taux d’invalidité a fait l’objet d’une fiche d’information de l’office fédéral des assurances sociales (ci-après : OFAS) du 18 octobre 2023 qui expose, notamment, ce qui suit :</w:t>
      </w:r>
    </w:p>
    <w:p>
      <w:r>
        <w:t>L’abattement de 10% de l’art. 26 bis al. 3 RAI est entré en vigueur le 1er janvier 2024. S’y ajoute un second abattement de 10% tenant compte de la moins-value du salaire, en cas de travail partiel, qui n’est applicable que si la capacité de travail est égale ou inférieure à 50%.</w:t>
      </w:r>
    </w:p>
    <w:p>
      <w:r>
        <w:t>A/1693/2023 - 14/16 - À partir du 1er janvier 2024, cette nouvelle déduction forfaitaire est appliquée à tous les nouveaux cas de rente dans lesquels un revenu hypothétique doit être pris en compte, faute de revenu effectif. En l’occurrence, il y a lieu d’appliquer le premier abattement de 10% découlant d’un calcul fondé uniquement sur l’ESS et d’y ajouter le second abattement de 10% découlant d’une capacité de travail égale à 50%. Le droit à la rente étant postérieur au 1er janvier 2024, cette déduction forfaitaire globale de 20% s’applique au cas d’espèce.</w:t>
      </w:r>
    </w:p>
    <w:p>
      <w:r>
        <w:t>Partant, le calcul effectué par l’OAI est exact dans la mesure où le salaire avec invalidité est divisé par deux (50%), puis le montant obtenu fait l’objet d’une déduction supplémentaire de 20%, correspondant à la somme des abattements examinés supra (10% ESS + 10% travail partiel à 50%). Les trois exemples chiffrés qui figurent dans la fiche d’information de l’OFAS ne laissent d’ailleurs aucun doute sur le fait que les abattements ne s’appliquent qu’une fois que le salaire avec invalidité a été réduit, selon le taux de capacité fonctionnelle de l’assuré. C’est ce salaire avec invalidité réduit (soit 50%) qui fait ensuite l’objet de l’abattement supplémentaire de 20%, contrairement aux calculs opérés par le recourant qui a additionné le taux d’abattement et le taux de capacité fonctionnelle puis a appliqué la somme de ces taux (soit 70%) au 100% du salaire avec invalidité. Compte tenu de ces éléments, le taux d’invalidité retenu par l’OAI dans sa duplique, soit 64.74% arrondis à 65%, est bien-fondé au regard de l’art. 28b al. 2 LAI. 9. La chambre de céans réformera donc la décision querellée, selon la nouvelle détermination de l’OAI du 21 mai 2024, qui tient compte de l’amélioration de la capacité de travail de l’assuré dès le 1er avril 2024, soit l’octroi, dès le 1er septembre 2022, d’une rente d’invalidité entière, fondée sur un degré d’invalidité de 100%, puis l’octroi, dès le 1er juillet 2024, de 65% d’une rente d’invalidité entière. 10.</w:t>
      </w:r>
    </w:p>
    <w:p>
      <w:r>
        <w:t>10.1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w:t>
      </w:r>
    </w:p>
    <w:p>
      <w:r>
        <w:t>A/1693/2023 - 15/16 -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Comme cela ressort de l’ordonnance d’expertise du 8 février 2024 de la chambre de céans, l’instruction menée par l’OAI n’avait pas permis d’établir au degré de la vraisemblance prépondérante la capacité de travail de l’assuré dès lors que l’appréciation du SMR était contestée par les médecins traitants, notamment le rhumatologue C______, de l’assuré. L’instruction effectuée par l’intimé présentait ainsi des lacunes ou des insuffisances caractérisées et l'expertise judiciaire ordonnée par la chambre de céans a permis de pallier les manquements commis dans la phase d'instruction administrative. Il existe ainsi un lien entre les défauts de l'instruction administrative et la nécessité de mettre en œuvre une expertise judiciaire (ATF 137 V 210 consid. 4.4.2). Il s’ensuit que les frais de l’expertise judiciaire par CHF 4'080.-, selon la facture du 15 avril 2024 du Dr F______, seront mis, pour la moitié, soit CHF 2'040.-, à la charge de l’intimé.</w:t>
      </w:r>
    </w:p>
    <w:p>
      <w:r>
        <w:t>10.2 Le recourant, assisté par un mandataire professionnellement qualifié et obtenant partiellement gain de cause, a ainsi droit à une indemnité à titre de participation à ses frais et dépens, que la chambre de céans fixera à CHF 3'500.- (art. 61 let. g LPGA ; art. 89H al. 3 LPA ; art. 6 du règlement sur les frais, émoluments et indemnités en procédure administrative du 30 juillet 1986 [RFPA - E 5 10.03]).</w:t>
      </w:r>
    </w:p>
    <w:p>
      <w:r>
        <w:t>10.3 Étant donné que, depuis le 1er juillet 2006, la procédure n'est plus gratuite (art. 69 al. 1bis LAI), au vu du sort du recours, il y a lieu de condamner l'intimé au paiement d'un émolument de CHF 200.-. PAR CES MOTIFS, LA CHAMBRE DES ASSURANCES SOCIALES :</w:t>
      </w:r>
    </w:p>
    <w:p>
      <w:r>
        <w:t>A/1693/2023 - 16/16 -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