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ATAS/409/2019 vom 13. Mai 2019</w:t>
      </w:r>
    </w:p>
    <w:p>
      <w:r>
        <w:t>GE Cour de justice, 2019-05-13, FR</w:t>
      </w:r>
    </w:p>
    <w:p>
      <w:r>
        <w:rPr>
          <w:b/>
        </w:rPr>
        <w:t xml:space="preserve">Quelle: </w:t>
      </w:r>
      <w:r>
        <w:t>https://mcp.opencaselaw.ch/entscheid/ge_gerichte_ATAS_409_2019</w:t>
      </w:r>
    </w:p>
    <w:p>
      <w:r>
        <w:t>FR: GE_GERICHTE ATAS/409/2019 du 13 mai 2019</w:t>
      </w:r>
    </w:p>
    <w:p>
      <w:r>
        <w:t>IT: GE_GERICHTE ATAS/409/2019 del 13 maggio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rPr>
          <w:b/>
        </w:rPr>
        <w:t>E. 3</w:t>
      </w:r>
    </w:p>
    <w:p>
      <w:r>
        <w:t>Selon l'art. 34 al. 2 let. a LAMal, le Conseil fédéral peut prévoir la prise en charge par l'assurance obligatoire des soins des coûts des prestations visées aux art. 25, al. 2, et 29 qui sont fournies à l'étranger, pour des raisons médicales ou dans le cadre de la coopération transfrontalière, à des assurés qui résident en Suisse. Selon l'art. 36 al. 2 et 4 de l'ordonnance sur l'assurance-maladie du 27 juin 1995 (OAMal - RS 832.102),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Les prestations visées aux al. 1 et 2, et les traitements effectués à l'étranger pour les frontaliers, les</w:t>
      </w:r>
    </w:p>
    <w:p>
      <w:r>
        <w:t>-6- _____________________________________________________________________________________</w:t>
      </w:r>
    </w:p>
    <w:p>
      <w:r>
        <w:t>A/2527/2018 travailleurs détachés et les personnes occupées par un service public, ainsi que pour les membres de leur famille (art. 3 à 5), sont pris en charge jusqu'à concurrence du double du montant qui aurait été payé si le traitement avait eu lieu en Suisse; dans les cas prévus à l'al. 3, le montant maximum correspond à celui qui aurait été payé en Suisse. Pour les assurés visés aux art. 4 et 5, la prise en charge des coûts s'effectue sur la base des tarifs et des prix applicables à leur dernier lieu de résidence en Suisse. Si le traitement effectué pour les assurés visés à l'art. 1 al. 2 let. d et e ne suit pas les règles sur l'entraide internationale en matière de prestations, la prise en charge des coûts s'effectue sur la base des tarifs et des prix applicables à leur dernier lieu de résidence ou de travail en Suisse; si aucun de ces lieux ne peut être déterminé, la prise en charge s'effectue sur la base des tarifs et des prix applicables dans le canton du siège de l'assureur (al. 4). Ce qui est déterminant, c'est que l'assuré ait subitement besoin et de manière imprévue d'un traitement à l'étranger. Il faut que des raisons médicales s'opposent à un report du traitement et qu'un retour en Suisse apparaisse inapproprié (arrêt R. du</w:t>
      </w:r>
    </w:p>
    <w:p>
      <w:r>
        <w:rPr>
          <w:b/>
        </w:rPr>
        <w:t>E. 5</w:t>
      </w:r>
    </w:p>
    <w:p>
      <w:r>
        <w:t>Faire toutes autres observations utiles. II. Réserve le sort des frais jusqu’à droit jugé au fond.</w:t>
      </w:r>
    </w:p>
    <w:p>
      <w:r>
        <w:t>-8- _____________________________________________________________________________________</w:t>
      </w:r>
    </w:p>
    <w:p>
      <w:r>
        <w:t>A/2527/2018</w:t>
      </w:r>
    </w:p>
    <w:p>
      <w:r>
        <w:t>La greffière</w:t>
      </w:r>
    </w:p>
    <w:p>
      <w:r>
        <w:t>Julia BARRY</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