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ATAS/408/2021 vom 4. Mai 2021</w:t>
      </w:r>
    </w:p>
    <w:p>
      <w:r>
        <w:t>GE Cour de justice, 2021-05-04, FR</w:t>
      </w:r>
    </w:p>
    <w:p>
      <w:r>
        <w:rPr>
          <w:b/>
        </w:rPr>
        <w:t xml:space="preserve">Quelle: </w:t>
      </w:r>
      <w:r>
        <w:t>https://mcp.opencaselaw.ch/entscheid/ge_gerichte_ATAS_408_2021</w:t>
      </w:r>
    </w:p>
    <w:p>
      <w:r>
        <w:t>FR: GE_GERICHTE ATAS/408/2021 du 4 mai 2021</w:t>
      </w:r>
    </w:p>
    <w:p>
      <w:r>
        <w:t>IT: GE_GERICHTE ATAS/408/2021 del 4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de trente jours prévus par la loi, l'acte de recours est recevable (art. 56 ss LPGA et 62 ss de la loi sur la procédure administrative du 12 septembre 1985 [LPA - E 5 10]).</w:t>
      </w:r>
    </w:p>
    <w:p>
      <w:r>
        <w:rPr>
          <w:b/>
        </w:rPr>
        <w:t>E. 3</w:t>
      </w:r>
    </w:p>
    <w:p>
      <w:r>
        <w:t>Le litige porte sur le bien-fondé de la suspension du droit de la recourante à l'indemnité de chômage, durant 6 jours, en raison de l’inobservation d’instructions de l’ORP, pour avoir postulé à deux postes entre 1 et 2 heures en retard par rapport au délai de postulation fixé dans les assignations.</w:t>
      </w:r>
    </w:p>
    <w:p>
      <w:r>
        <w:rPr>
          <w:b/>
        </w:rPr>
        <w:t>E. 4</w:t>
      </w:r>
    </w:p>
    <w:p>
      <w:r>
        <w:t>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w:t>
      </w:r>
    </w:p>
    <w:p>
      <w:r>
        <w:t>A/2518/2020 - 6/11 -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b.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 La suspension du droit à l'indemnité de chômage prévue à l'art. 30 LACI n'a pas un caractère pénal. Elle constitue une sanction de droit administratif destinée à combattre les abus en matière d'assurance chômage. Comme telle, cette mesure peut être prononcée de manière répétée, sans que soit applicable l'ancien art. 68 du</w:t>
      </w:r>
    </w:p>
    <w:p>
      <w:r>
        <w:t>A/2518/2020 - 7/11 - Code pénal suisse du 21 décembre 1937 (CP - RS 311.0 ; actuellement art. 49 CP ; ATF 123 V 150 consid. 1c ; arrêt du Tribunal fédéral 8C_306/2008 du 26 septembre 2008 consid. 3.2 ; aussi ATAS/590/2019 du 27 juin 2019 consid. 4).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(arrêt du Tribunal fédéral 8C_306/2008 précité consid. 3.2 ; ATAS/1097/2018 du 28 novembre 2018 consid. 5b).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ATF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Le motif de la suspension prévu par l'art. 30 LACI permet de sanctionner l'assuré non seulement en cas de faute grave, mais aussi en cas de négligence, même légère (ATAS/1057/2020 du 10 novembre 2020 consid. 3c ; ATAS/787/2020 du</w:t>
      </w:r>
    </w:p>
    <w:p>
      <w:r>
        <w:rPr>
          <w:b/>
        </w:rPr>
        <w:t>E. 9</w:t>
      </w:r>
    </w:p>
    <w:p>
      <w:r>
        <w:t>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 c. Au titre de l’art. 30 al. 1 let. d LACI, le Tribunal fédéral a confirmé la suspension du droit à l’indemnité d’un assuré qui avait postulé tardivement, deux semaines après avoir reçu une assignation pour un poste d’ingénieur mécanicien, en alléguant que le processus de recrutement dans ce domaine prenait des semaines et non des jours (arrêt du Tribunal fédéral C 30/06 précité consid. 4.2, 5 et 6 ; cf. aussi arrêt du Tribunal fédéral C 152/01 précité consid. 4 et 5). d. La durée de la suspension est proportionnelle à la gravité de la faute et ne peut excéder, par motif de suspension, 60 jours, et dans le cas de l'al. 1 let. g, 25 jours (art. 30 al. 3 LACI ; arrêt du Tribunal fédéral des assurances C 254/06 du 26 novembre 2007 consid. 5.3). Le conseil fédéral peut prescrire une durée minimale pour la suspension (art. 30 al. 3bis LACI).</w:t>
      </w:r>
    </w:p>
    <w:p>
      <w:r>
        <w:t>A/2518/2020 - 8/11 -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Selon le Tribunal fédéral, on ne peut pas se fonder uniquement sur la durée du retard de postulation à la suite d’une assignation pour évaluer le degré de la faute, mais il faut tenir compte des circonstances subjectives et objectives du cas d’espèce. Le contraire conduirait à une évaluation indifférenciée de la faute (arrêt du Tribunal fédéral 8C_285/2011 du 22 août 2011). 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Les juridictions cantonales ne peuvent s'écarter des sanctions minimales prévues par ledit barème qu'en présence de situations singulières (arrêt du Tribunal fédéral 8C_758/2017 précité consid. 5 ; Boris RUBIN, Assurance-chômage et service public de l'emploi, 2019, n. 581). f.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w:t>
      </w:r>
    </w:p>
    <w:p>
      <w:r>
        <w:t>A/2518/2020 - 9/11 -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 5. a. En l’espèce, la recourante a postulé avec environ 2 heures de retard à deux postes que l’intimé lui avait assigné le 25 juin 2020 avec un délai au 29 juin 2020. Certes, ce retard est court, mais il constitue néanmoins un non-respect des instructions données par l’ORP, justifiant le principe d’une sanction. b. Pour ce qui est de la durée de la suspension de l’indemnité de chômage, le Bulletin LACI IC (D79) qualifie de légère la faute consistant en une inobservation d’instructions de l’autorité cantonale ou de l’ORP autres que la non-présentation sans motif valable à la journée d’information ou à un entretien de conseil ou de contrôle, et fixe la suspension à une durée entre 3 et 10 jours la première fois ; cette durée est d’au moins 10 jours la seconde fois, la faute étant alors de légère à moyenne (point 3.B). La chambre de céans a qualifié de faute grave, assimilable à un refus d’emploi convenable, un retard de 12 jours après le délai assigné pour un poste et a confirmé une suspension du droit à l’indemnité de chômage de 34 jours. Il ressortait des explications de l’assurée, corroborées par sa psychologue, qu’elle traversait effectivement une période de crise sur le plan familial à l’époque des faits ; cependant, en réalité, ce n’était pas cette situation qui l’avait empêchée de postuler dans les délais, mais l’inattention dont elle a fait preuve en prenant connaissance de son assignation. Or, cette négligence, si elle était explicable au vu de l’état d’angoisse dans lequel devait se trouver l’assurée, ne saurait constituer un motif valable de requalification de la gravité de sa faute au vu de la jurisprudence restrictive du Tribunal fédéral (ATAS/141/2019 du 14 février 2019, avec référence notamment à l’arrêt du Tribunal fédéral C 245/06 du 2 novembre 2007 ; cf. aussi arrêts du Tribunal fédéral C 30/06 précité consid. 6 et C 152/01 précité consid. 5). En outre, la chambre des assurances sociales a retenu une négligence dans un cas où, bien qu’étant sous l’effet d’un certificat médical le 18 février 2020, l’assurée avait été capable de donner suite aux deux assignations qu’elle avait reçues le</w:t>
      </w:r>
    </w:p>
    <w:p>
      <w:r>
        <w:rPr>
          <w:b/>
        </w:rPr>
        <w:t>E. 14</w:t>
      </w:r>
    </w:p>
    <w:p>
      <w:r>
        <w:t>février 2020 et aurait donc pu postuler en temps utile, le 17 février, si elle n’avait oublié de le faire, ne souffrant pas de douleurs importantes ce jour-ci et étant à la montagne avec un ami. La circonstance qu’elle était particulièrement stressée lors de la période en cause par le chômage et ses douleurs ne justifiait pas son manquement et la durée de la suspension prononcée, de 11 jours, apparaissait conforme au barème du SECO et au principe de la proportionnalité, dans la mesure où l’intéressée avait déjà fait l’objet d’une sanction dans les deux ans précédents, en</w:t>
      </w:r>
    </w:p>
    <w:p>
      <w:r>
        <w:t>A/2518/2020 - 10/11 - raison d’une arrivée en retard à un entretien de conseil (ATAS/827/2020 du 30 septembre 2020). c. En l’espèce, ce ne sont pas les difficultés que l’intéressée a invoquées, à savoir les problèmes de santé de sa mère, les dégâts et la réparation de sa voiture ainsi que les lésions puis le décès de sa chatte, qui l’ont empêchée de se porter candidate aux deux postes dans le délai fixé par les assignations, mais bien plutôt le fait qu’elle a, selon ses propres explications, sous-estimé l’importance de respecter précisément et strictement les instructions données par l’ORP, notamment quant aux délais fixés, ce qui constitue une négligence. Il n’est dès lors pas utile d’entendre la mère de l’intéressée (appréciation anticipée des preuves ; ATF 122 II 464 consid. 4a ; ATF 122 III 219 consid. 3c). Au regard de l’ensemble des circonstances, notamment de ladite négligence, du fait qu’il y avait deux postes assignés pour lesquels les délais de postulation n’ont pas été respectés ainsi que du faible dépassement de ceux-ci, et compte tenu du barème du SECO prévoyant une suspension d’une durée entre 3 et 10 jours la première fois, la quotité de la sanction contestée, de 6 jours, soit au sommet de la première moitié de la durée prévue entre 3 et 10 jours, ne prête pas le flanc à la critique. 6. Vu ce qui précède, la décision sur opposition querellée est conforme au droit et le recours est rejeté. 7. La procédure est gratuite (art. 61 let. a LPGA, applicable ratione temporis vu l’art. 83 LPGA).</w:t>
      </w:r>
    </w:p>
    <w:p>
      <w:r>
        <w:t>******</w:t>
      </w:r>
    </w:p>
    <w:p>
      <w:r>
        <w:t>A/2518/2020 - 11/11 -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