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ATAS/408/2018 vom 14. Mai 2018</w:t>
      </w:r>
    </w:p>
    <w:p>
      <w:r>
        <w:t>GE Cour de justice, 2018-05-14, FR</w:t>
      </w:r>
    </w:p>
    <w:p>
      <w:r>
        <w:rPr>
          <w:b/>
        </w:rPr>
        <w:t xml:space="preserve">Quelle: </w:t>
      </w:r>
      <w:r>
        <w:t>https://mcp.opencaselaw.ch/entscheid/ge_gerichte_ATAS_408_2018</w:t>
      </w:r>
    </w:p>
    <w:p>
      <w:r>
        <w:t>FR: GE_GERICHTE ATAS/408/2018 du 14 mai 2018</w:t>
      </w:r>
    </w:p>
    <w:p>
      <w:r>
        <w:t>IT: GE_GERICHTE ATAS/408/2018 del 14 maggio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la forme et le délai prévus par la loi, le recours est recevable (art. 56 ss LPGA et 62 ss LPA).</w:t>
      </w:r>
    </w:p>
    <w:p>
      <w:r>
        <w:rPr>
          <w:b/>
        </w:rPr>
        <w:t>E. 4</w:t>
      </w:r>
    </w:p>
    <w:p>
      <w:r>
        <w:t>Le litige porte sur le droit du recourant à une rente d’invalidité et à l’octroi de mesures d’ordre professionnel.</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w:t>
      </w:r>
    </w:p>
    <w:p>
      <w:r>
        <w:t>A/4293/2017 - 9/14 -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A/4293/2017 - 10/14 -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w:t>
      </w:r>
    </w:p>
    <w:p>
      <w:r>
        <w:t>A/4293/2017 - 11/14 - ces avis et il y a lieu de mettre en œuvre une expertise par un médecin indépendant selon la procédure de l'art. 44 LPGA ou une expertise judiciaire (ATF 135 V 465 consid. 4.6;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t>A/4293/2017 - 12/14 -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w:t>
      </w:r>
    </w:p>
    <w:p>
      <w:r>
        <w:t>A/4293/2017 - 13/14 - SVR 2010 IV n. 49 p. 151, consid. 3.5; arrêt du Tribunal fédéral 8C_760/2011 du 26 janvier 2012 consid. 3).</w:t>
      </w:r>
    </w:p>
    <w:p>
      <w:r>
        <w:rPr>
          <w:b/>
        </w:rPr>
        <w:t>E. 11</w:t>
      </w:r>
    </w:p>
    <w:p>
      <w:r>
        <w:t>En l’occurrence, l’intimé a estimé, en suivant l’avis du SMR du 14 août 2017, que le recourant présentait depuis novembre 2015 des cervico-brachialgies gauches déficitaires sur hernie discale C4-C5, des lombalgies chroniques sur discopathies L5-S1 et un status post-chirurgie de hernie discale L5-S1 en octobre 2004 ; ces diagnostics limitaient la capacité de travail à 50 % dans l’activité habituelle mais permettaient un travail à 100 % dans une activité adaptée aux limitations fonctionnelles. L’instruction médicale menée par l’intimé a consisté à requérir des renseignements auprès des médecins traitants du recourant. En particulier, le Dr H______ a rempli un rapport médical AI le 21 avril 2017 attestant d’une capacité de travail du recourant limitée à 50 % dans toute activité, en relevant que celui-ci présentait de la fatigue et des douleurs musculaire après quatre heure environ, ainsi que des cervicobrachialgies gauches et un lumbago bilatéral. À la suite de ce rapport, le SMR a rendu un avis sur dossier le 14 août 2017 ; il conclut cependant à une capacité de travail de 100 % dans une activité adaptée aux limitations fonctionnelles du recourant, s’écartant ainsi, sans motivation, de l’avis du Dr H______. Par ailleurs, lors de l’audience de comparution personnelle du 5 mars 2018, le recourant a précisé qu’il arrivait à travailler à 50 %, mais difficilement, en raison de douleurs lombaires et cervicales. Il existe ainsi une divergence entre l’avis du médecin traitant du recourant et l’avis, sur dossier, du SMR. En l’état, l’instruction du dossier est lacunaire et la chambre de céans ne peut statuer sur le droit éventuel du recourant à une rente d’invalidité car elle ne dispose pas des éléments médicaux nécessaires pour évaluer la capacité de travail du recourant depuis novembre 2015. En conséquence, il se justifie de renvoyer la cause à l’intimé afin qu’il mette en œuvre une expertise médicale et rende une nouvelle décision.</w:t>
      </w:r>
    </w:p>
    <w:p>
      <w:r>
        <w:rPr>
          <w:b/>
        </w:rPr>
        <w:t>E. 12</w:t>
      </w:r>
    </w:p>
    <w:p>
      <w:r>
        <w:t>Partant le recours sera partiellement admis et la décision litigieuse annulée. Vu l’issue du litige, une indemnité de CHF 2’500.- sera accordée au recourant à titre de participation à ses frais et dépens (art. 61 let. g LPGA; art. 6 du règlement sur les frais, émoluments et indemnités en matière administrative du 30 juillet 1986 [RFPA - E 5 10.03]), à charge de l’intimé. Etant donné que, depuis le 1er juillet 2006, la procédure n'est plus gratuite (art. 69 al. 1bis LAI), au vu du sort du recours, il y a lieu de condamner l'intimé au paiement d'un émolument de CHF 500.-.</w:t>
      </w:r>
    </w:p>
    <w:p>
      <w:r>
        <w:t>A/4293/2017 - 14/14 -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