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ATAS/407/2020 vom 18. Mai 2020</w:t>
      </w:r>
    </w:p>
    <w:p>
      <w:r>
        <w:t>GE Cour de justice, 2020-05-18, FR</w:t>
      </w:r>
    </w:p>
    <w:p>
      <w:r>
        <w:rPr>
          <w:b/>
        </w:rPr>
        <w:t xml:space="preserve">Quelle: </w:t>
      </w:r>
      <w:r>
        <w:t>https://mcp.opencaselaw.ch/entscheid/ge_gerichte_ATAS_407_2020</w:t>
      </w:r>
    </w:p>
    <w:p>
      <w:r>
        <w:t>FR: GE_GERICHTE ATAS/407/2020 du 18 mai 2020</w:t>
      </w:r>
    </w:p>
    <w:p>
      <w:r>
        <w:t>IT: GE_GERICHTE ATAS/407/2020 del 18 maggio 2020</w:t>
      </w:r>
    </w:p>
    <w:p>
      <w:pPr>
        <w:pStyle w:val="Heading2"/>
      </w:pPr>
      <w:r>
        <w:t>Erwägungen</w:t>
      </w:r>
    </w:p>
    <w:p>
      <w:r>
        <w:rPr>
          <w:b/>
        </w:rPr>
        <w:t>E. 1</w:t>
      </w:r>
    </w:p>
    <w:p>
      <w:r>
        <w:t>Déclare le recours irrecevable.</w:t>
      </w:r>
    </w:p>
    <w:p>
      <w:r>
        <w:rPr>
          <w:b/>
        </w:rPr>
        <w:t>E. 2</w:t>
      </w:r>
    </w:p>
    <w:p>
      <w:r>
        <w:t>Le transmet, accompagné du dossier, à la Cour de droit public du Tribunal cantonal du canton de Neuchâtel.</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