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ATAS/407/2016 vom 23. Mai 2016</w:t>
      </w:r>
    </w:p>
    <w:p>
      <w:r>
        <w:t>GE Cour de justice, 2016-05-23, FR</w:t>
      </w:r>
    </w:p>
    <w:p>
      <w:r>
        <w:rPr>
          <w:b/>
        </w:rPr>
        <w:t xml:space="preserve">Quelle: </w:t>
      </w:r>
      <w:r>
        <w:t>https://mcp.opencaselaw.ch/entscheid/ge_gerichte_ATAS_407_2016</w:t>
      </w:r>
    </w:p>
    <w:p>
      <w:r>
        <w:t>FR: GE_GERICHTE ATAS/407/2016 du 23 mai 2016</w:t>
      </w:r>
    </w:p>
    <w:p>
      <w:r>
        <w:t>IT: GE_GERICHTE ATAS/407/2016 del 23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A/3706/2015 - 12/19 - assurances sociales, du 6 octobre 2000 (LPGA - RS 830.1) relatives à la loi fédérale sur l’assurance-invalidité du 19 juin 1959 (LAI - RS 831.20). Sa compétence pour juger du cas d’espèce est ainsi établie.</w:t>
      </w:r>
    </w:p>
    <w:p>
      <w:r>
        <w:rPr>
          <w:b/>
        </w:rPr>
        <w:t>E. 2</w:t>
      </w:r>
    </w:p>
    <w:p>
      <w:r>
        <w:t>La LPGA, la 5ème révision de la LAI et le 1er volet de la 6ème révision de la LAI sont entrées en vigueur respectivement le 1er janvier 2003, le 1er janvier 2008 et le 1er janvier 2012, entraînant de nombreuses modifications légales dans l'assurance- invalidité. La législation applicable en cas de changement de règles de droit est celle qui était en vigueur lors de la réalisation de l'état de fait qui doit être apprécié juridiquement ou qui a des conséquences juridiques, sous réserve de dispositions particulières de droit transitoire (ATF 130 V 445 consid. 1.2.1). Cela étant, la LPGA n’a modifié ni la notion d'invalidité, ni la manière d'évaluer le taux d'invalidité (arrêt du Tribunal fédéral des assurances I 229/05 du 3 mai 2006 consid. 1.2). La 5ème révision n'a pas non plus amené de modifications substantielles en matière d'évaluation de l'invalidité (Message concernant la modification de la loi fédérale sur l'assurance-invalidité du 22 juin 2005, FF 2005 4322). En ce qui concerne la procédure, à défaut de règles transitoires contraires, le nouveau droit s'applique sans réserve dès le jour de son entrée en vigueur (ATF 130 V 90 consid. 3.2).</w:t>
      </w:r>
    </w:p>
    <w:p>
      <w:r>
        <w:rPr>
          <w:b/>
        </w:rPr>
        <w:t>E. 3</w:t>
      </w:r>
    </w:p>
    <w:p>
      <w:r>
        <w:t>Interjeté dans les forme et délai prévus par la loi, le recours est recevable (art. 56ss LPGA).</w:t>
      </w:r>
    </w:p>
    <w:p>
      <w:r>
        <w:rPr>
          <w:b/>
        </w:rPr>
        <w:t>E. 4</w:t>
      </w:r>
    </w:p>
    <w:p>
      <w:r>
        <w:t>Le litige porte sur le droit de la recourante à des prestations d’invalidité, plus particulièrement sur le point de savoir à quelle date l’invalidité est survenue.</w:t>
      </w:r>
    </w:p>
    <w:p>
      <w:r>
        <w:rPr>
          <w:b/>
        </w:rPr>
        <w:t>E. 5</w:t>
      </w:r>
    </w:p>
    <w:p>
      <w:r>
        <w:t>En préambule, il convient de rappeler que le droit aux prestations de la recourante doit s’analyser à l’aune des règles applicables aux ressortissants suisses, comme la chambre de céans l’a déterminé dans son arrêt du 13 janvier 2014.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w:t>
      </w:r>
    </w:p>
    <w:p>
      <w:r>
        <w:t>A/3706/2015 - 13/19 - raisonnablement être exigée de lui après les traitements et les mesures de réadaptation, sur un marché du travail équilibré (art. 16 LPGA et art. 28 al. 2 LAI).</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w:t>
      </w:r>
    </w:p>
    <w:p>
      <w:r>
        <w:t>A/3706/2015 - 14/19 -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du règlement sur l’assurance-invalidité [RAI – RS 831.201]). Par travaux habituels, il faut notamment entendre l'activité usuelle dans le ménage, l'éducation des enfants ainsi que toute activité artistique ou d'utilité publique (cf. art. 27 RAI) (arrêt du Tribunal fédéral 9C_589/2014 du 6 mars 2015 consid. 3.1).</w:t>
      </w:r>
    </w:p>
    <w:p>
      <w:r>
        <w:t>A/3706/2015 - 15/19 -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(arrêt du Tribunal fédéral 9C_36/2013 du 21 juin 2013 consid. 4.1.3). Pour déterminer la méthode applicable au cas particulier, il faut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On précisera encore que l’empêchement dans les travaux habituels est en règle générale déterminé au moyen d’une enquête ménagère (arrêt du Tribunal fédéral des assurances I 685/02 du 28 février 2003 consid. 3.2). Dès lors que l’invalidité consiste non en une incapacité de gain résultant d’une atteinte mais d’une limitation dans les travaux du ménage en raison de problèmes de santé, le début du droit à la rente doit également être déterminé eu égard à ce domaine. Pour déterminer depuis quand et dans quelle mesure la personne rencontre des empêchements dans l’accomplissement de ses travaux – et partant quand naît le droit à la rente – il y a lieu de se fonder non pas sur l’enquête ménagère mais sur les rapports médicaux (ATF 130 V 97 consid. 3.3.3).</w:t>
      </w:r>
    </w:p>
    <w:p>
      <w:r>
        <w:rPr>
          <w:b/>
        </w:rPr>
        <w:t>E. 9</w:t>
      </w:r>
    </w:p>
    <w:p>
      <w:r>
        <w:t>Jusqu’au 31 décembre 2007, l’art. 36 al. 1 aLAI prévoyait que les assurés comptant une année entière au moins de cotisations avaient droit aux rentes ordinaires. Aux termes de l’art. 36 al. 1 LAI dans sa teneur en force depuis le 1er janvier 2008, a droit à une rente ordinaire l'assuré qui, lors de la survenance de l'invalidité, compte</w:t>
      </w:r>
    </w:p>
    <w:p>
      <w:r>
        <w:t>A/3706/2015 - 16/19 - trois années au moins de cotisations. On précisera que c’est la version en force depuis le 1er janvier 2008 qui s’applique au cas d’espèce, dès lors que la demande de prestations est postérieure à l’entrée en vigueur de cette disposition modifiée (cf. dans un cas similaire arrêt du Tribunal fédéral 9C_230/2012 du 5 septembre 2012 consid. 1.2).</w:t>
      </w:r>
    </w:p>
    <w:p>
      <w:r>
        <w:rPr>
          <w:b/>
        </w:rPr>
        <w:t>E. 10</w:t>
      </w:r>
    </w:p>
    <w:p>
      <w:r>
        <w:t>Aux termes de l'art. 4 al. 2 LAI, l'invalidité est réputée survenue dès qu'elle est, par sa nature et sa gravité, propre à ouvrir le droit aux prestations entrant en considération. Le moment de la survenance de l'invalidité doit être déterminé objectivement, d'après l'état de santé; des facteurs externes fortuits n'ont pas d'importance. Ce moment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Dans le cas d'une rente, l'invalidité est réputée survenue, en règle ordinaire, dès que l'assuré a présenté, en moyenne, une incapacité de travail de 40 % au moins pendant une année sans interruption notable (art. 28 al. 1 let. b LAI, dans sa version en vigueur depuis le 1er janvier 2008, art. 29 al. 1 let b aLAI dans sa teneur en vigueur jusqu'au 31 décembre 2007) (ATF 129 V 411 consid. 2.1). Lorsqu’un assuré qui n'exerçait pas d'activité lucrative au moment de la survenance d'une atteinte à sa santé peut encore accomplir ses travaux habituels dans une mesure supérieure à 60 %, les conditions matérielles du droit à la rente ne sont en principe pas réunies et l'invalidité n'est pas réputée survenue tant que cette situation demeure. 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l'art. 28 al. 2 LAI, dans sa teneur en vigueur jusqu'au 31 décembre 2002. Si le taux d'invalidité qui en résulte lui ouvre droit à une rente, l'invalidité sera réputée survenue, en règle générale, à l'échéance du délai d'attente prévu à l'art. 29 al. 1 let. b LAI, ce délai commençant à courir au plus tôt lorsque le changement de méthode d'évaluation de l'invalidité est devenu approprié (arrêt du Tribunal fédéral des assurances I 780/02 du 1er mai 2003 consid. 4.3.2).</w:t>
      </w:r>
    </w:p>
    <w:p>
      <w:r>
        <w:rPr>
          <w:b/>
        </w:rPr>
        <w:t>E. 11</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12</w:t>
      </w:r>
    </w:p>
    <w:p>
      <w:r>
        <w:t>Lorsque l'autorité cantonale de recours statue par une décision de renvoi, l'autorité à laquelle la cause est renvoyée, de même que celle qui a rendu la décision sur</w:t>
      </w:r>
    </w:p>
    <w:p>
      <w:r>
        <w:t>A/3706/2015 - 17/19 - recours, sont tenues de se conformer aux instructions du jugement de renvoi. Ainsi, l'autorité inférieure doit fonder sa nouvelle décision sur les considérants de droit du jugement de renvoi. Ce principe est applicable même en l'absence de disposition légale et vaut, partant, dans la procédure administrative en général (ATF 117 V 237 consid. 2a ; arrêt du Tribunal fédéral 8C_775/2010 du 14 avril 2011 consid. 4.1.1). L’autorité à laquelle une cause est renvoyée doit ainsi fonder sa décision sur l’appréciation juridique de l’arrêt de renvoi. Par conséquent, si le juge est une nouvelle fois saisi de l’affaire, il ne saurait statuer sur le litige en tenant compte de considérations juridiques qui ont été expressément écartées dans l’arrêt de renvoi ou qui n’ont pas été prises en compte (ATF 116 II 220 consid. 4a).</w:t>
      </w:r>
    </w:p>
    <w:p>
      <w:r>
        <w:rPr>
          <w:b/>
        </w:rPr>
        <w:t>E. 13</w:t>
      </w:r>
    </w:p>
    <w:p>
      <w:r>
        <w:t>En l’espèce, la chambre de céans avait renvoyé la cause à l’intimé pour que soit déterminé avec précision à quelle date l’invalidité de la recourante était survenue. Elle a exposé dans ses considérants les éléments qui manquaient pour trancher le litige, et pour quels motifs l’expertise réalisée par les spécialistes des HUG ne suffisait pas à sa résolution. L’arrêt du 13 janvier 2014 ne dictait certes pas à l’intimé les modalités selon lesquelles il devait compléter l’instruction. La mise en œuvre d’une expertise n’est ainsi pas critiquable en soi. Force est cependant de constater que celle que le Dr H______ a réalisée ne permet nullement de compléter utilement l’état de fait. Elle n’amène en effet pas plus que celle des psychiatres des HUG les éléments nécessaires à statuer sur le droit de la recourante à des prestations d’invalidité. Si le rapport de ce psychiatre comprend tous les éléments dégagés par la jurisprudence pour se voir reconnaître pleine valeur probante et que sa qualité intrinsèque n’est pas remise en cause s’agissant de l’état actuel de la recourante, il ne se prononce pas sur les questions pertinentes, puisqu’il n’indique pas à quelle date et dans quelle mesure les atteintes de la recourante se sont révélées incapacitantes. Le Dr H______ a diagnostiqué des troubles phobiques existant « depuis l’adolescence », et indiqué que l’incapacité de travail était entière depuis « de nombreuses années ». Ces éléments ne sont ni suffisamment précis, ni suffisamment étayés pour démontrer au degré de la vraisemblance prépondérante que l’invalidité est survenue avant l’arrivée de la recourante en Suisse, contrairement à ce qu’allègue l’intimé. Il y a encore lieu d’ajouter que si l’intimé était pour l’essentiel libre de décider des mesures d’instruction idoines pour compléter l’état de fait dans la mesure ordonnée par la chambre de céans, cette dernière a néanmoins relevé qu’il serait utile de recueillir des renseignements auprès des médecins ayant traité la recourante en 1992. L’intimé ne l’a pas fait. Or, compte tenu du fait que les conclusions de l’expertise du Dr H______ n’amenaient pas de réponse sur la date de début de l’invalidité, l’intimé aurait dû procéder à cette mesure d’instruction, ou à tout le moins inviter l’expert à compléter son rapport en prenant langue avec les médecins consultés par la recourante à l’époque.</w:t>
      </w:r>
    </w:p>
    <w:p>
      <w:r>
        <w:t>A/3706/2015 - 18/19 - Comme cela ressort de la jurisprudence citée ci-dessus, la chambre de céans est liée par son arrêt de renvoi. Il y a donc lieu de renvoyer une nouvelle fois la cause à l’intimé pour que ce dernier instruise de manière complète les éléments médicaux permettant d’établir au degré de la vraisemblance prépondérante à quelle date l’incapacité de travail est survenue, et dans quelle mesure elle a évolué depuis. S’agissant du statut de la recourante, l’intimé ne l’a pas non plus examiné alors que la chambre de céans l’avait enjoint à le faire. Au vu des circonstances, il convient de rappeler en quoi cette question est essentielle pour trancher le litige. La recourante a indiqué que son époux et elle avaient adopté une répartition « traditionnelle » des rôles au sein du ménage, et qu’elle n’entendait ainsi pas poursuivre d’activité lucrative à l’extérieur du foyer à l’époque. On ajoutera que l’absence d’activité lucrative à long terme alors que la recourante habitait encore le Maroc peut également s’expliquer par des raisons culturelles. Il semble de plus que la relation que cette dernière a nouée après la fin de son mariage avec un homme qui subvenait à ses besoins lui permettait de ne pas travailler. Dans ces circonstances, il est possible qu’elle ait eu un statut de ménagère pendant ces années. Or, si ses troubles psychiques ont désormais des répercussions sur sa capacité de travail, il est possible que leur incidence – à supposer qu’ils aient déjà existé dans la même intensité à l’époque – sur l’accomplissement des travaux habituels au sein du ménage ait été moindre et n’ait pas suffi à fonder un degré d’invalidité de 40 % au moins. Il est donc indispensable que l’intimé complète l’instruction de manière à déterminer le statut de la recourante – par exemple en se renseignant sur les ressources financières de cette dernière avant le dépôt de sa demande de prestations. Ceci fait, et une fois le statut établi au degré de la vraisemblance prépondérante, il appartiendra cas échéant à l’intimé d’instruire l’incidence des troubles psychiques sur la capacité de la recourante à accomplir les travaux habituels, et de déterminer comment cette capacité a évolué dans le temps.</w:t>
      </w:r>
    </w:p>
    <w:p>
      <w:r>
        <w:rPr>
          <w:b/>
        </w:rPr>
        <w:t>E. 14</w:t>
      </w:r>
    </w:p>
    <w:p>
      <w:r>
        <w:t>Au vu de ce qui précède, le recours est partiellement admis. La recourante, qui obtient gain de cause, a droit à des dépens qu’il convient de fixer à CHF 2'000.- (art. 61 let. g LPGA). La procédure en matière d’assurance-invalidité n'étant pas gratuite (art. 69 al. 1bis LAI), l’intimé sera condamné au paiement d’un émolument de CHF 1’000.-.</w:t>
      </w:r>
    </w:p>
    <w:p>
      <w:r>
        <w:t>A/3706/2015 - 19/19 -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