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ATAS/407/2005 vom 13. Dezember 2004</w:t>
      </w:r>
    </w:p>
    <w:p>
      <w:r>
        <w:t>GE Cour de justice, 2004-12-13, FR</w:t>
      </w:r>
    </w:p>
    <w:p>
      <w:r>
        <w:rPr>
          <w:b/>
        </w:rPr>
        <w:t xml:space="preserve">Quelle: </w:t>
      </w:r>
      <w:r>
        <w:t>https://mcp.opencaselaw.ch/entscheid/ge_gerichte_ATAS_407_2005</w:t>
      </w:r>
    </w:p>
    <w:p>
      <w:r>
        <w:t>FR: GE_GERICHTE ATAS/407/2005 du 13 décembre 2004</w:t>
      </w:r>
    </w:p>
    <w:p>
      <w:r>
        <w:t>IT: GE_GERICHTE ATAS/407/2005 del 13 dicembre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w:t>
      </w:r>
    </w:p>
    <w:p>
      <w:r>
        <w:t>A/496/2005 - 4/6 -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a LOJ, le Tribunal cantonal des assurances sociales connaît des contestations prévues à l’article 43 de la loi cantonale sur les prestations cantonales complémentaires à l’assurance-vieillesse et survivants et à l’assurance-invalidité du 25 octobre 1968 (LPCC) ainsi qu’à l’article 56 LPGA qui sont relatives à la loi fédérale sur les prestations complémentaires à l’assurance-vieillesse, survivants et invalidité du 19 mars 1965 (LPC). Sa compétence pour juger du cas d’espèce est ainsi établie.</w:t>
      </w:r>
    </w:p>
    <w:p>
      <w:r>
        <w:rPr>
          <w:b/>
        </w:rPr>
        <w:t>E. 3</w:t>
      </w:r>
    </w:p>
    <w:p>
      <w:r>
        <w:t>Le recours, interjeté en temps utile est recevable à la forme (art. 8 LPC et art. 42 LPCC).</w:t>
      </w:r>
    </w:p>
    <w:p>
      <w:r>
        <w:rPr>
          <w:b/>
        </w:rPr>
        <w:t>E. 4</w:t>
      </w:r>
    </w:p>
    <w:p>
      <w:r>
        <w:t>Aux termes de l’art. 9 de l’ordonnance relative au remboursement des frais de maladie et des frais résultant de l’invalidité en matière de prestations complémentaires (OMPC) : «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w:t>
      </w:r>
    </w:p>
    <w:p>
      <w:r>
        <w:rPr>
          <w:b/>
        </w:rPr>
        <w:t>E. 5</w:t>
      </w:r>
    </w:p>
    <w:p>
      <w:r>
        <w:t>En l’espèce, l’assuré souffre de troubles du colon spastique et de migraines digestives. Son médecin traitant a attesté qu’il suivait un régime spécifique. L’OCPA a soumis le cas de l’assuré au Docteur B__________, lequel, dans un avis du 25 novembre 2004, complété le 9 mai 2005 (celui du 16 mars ayant été annulé), a déclaré, d’une part, que le régime alimentaire n’était pas indispensable au maintien de la vie et, d’autre part, qu’il n’entraînait pas de dépenses supplémentaires par rapport à une alimentation courante.</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2e éd., p. 39, n° 111 et p. 117, n° 320 ; Gygi, Bundesverwaltungsrechtspflege, 2e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A/496/2005 - 5/6 -</w:t>
      </w:r>
    </w:p>
    <w:p>
      <w:r>
        <w:rPr>
          <w:b/>
        </w:rPr>
        <w:t>E. 8</w:t>
      </w:r>
    </w:p>
    <w:p>
      <w:r>
        <w:t>Le Tribunal de céans ne met pas en doute le fait que le régime alimentaire auquel s’astreint le recourant lui soit bénéfique, il n’est cependant pas indispensable au maintien de la vie. Certes le fait que le médecin conseil de l’OCPA ait fondé sa première évaluation négative du cas sur un diagnostic erroné est-il particulièrement déplaisant. Cette erreur a cependant été dûment corrigée.</w:t>
      </w:r>
    </w:p>
    <w:p>
      <w:r>
        <w:rPr>
          <w:b/>
        </w:rPr>
        <w:t>E. 10</w:t>
      </w:r>
    </w:p>
    <w:p>
      <w:r>
        <w:t>Force est ainsi de confirmer le refus de l’allocation-régime et de rejeter le recours.</w:t>
      </w:r>
    </w:p>
    <w:p>
      <w:r>
        <w:t>A/496/2005 - 6/6 -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