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ATAS/406/2023 vom 6. Juni 2023</w:t>
      </w:r>
    </w:p>
    <w:p>
      <w:r>
        <w:t>GE Cour de justice, 2023-06-06, FR</w:t>
      </w:r>
    </w:p>
    <w:p>
      <w:r>
        <w:rPr>
          <w:b/>
        </w:rPr>
        <w:t xml:space="preserve">Quelle: </w:t>
      </w:r>
      <w:r>
        <w:t>https://mcp.opencaselaw.ch/entscheid/ge_gerichte_ATAS_406_2023</w:t>
      </w:r>
    </w:p>
    <w:p>
      <w:r>
        <w:t>FR: GE_GERICHTE ATAS/406/2023 du 6 juin 2023</w:t>
      </w:r>
    </w:p>
    <w:p>
      <w:r>
        <w:t>IT: GE_GERICHTE ATAS/406/2023 del 6 giugno 2023</w:t>
      </w:r>
    </w:p>
    <w:p>
      <w:pPr>
        <w:pStyle w:val="Heading2"/>
      </w:pPr>
      <w:r>
        <w:t>Erwägungen</w:t>
      </w:r>
    </w:p>
    <w:p>
      <w:r>
        <w:rPr>
          <w:b/>
        </w:rPr>
        <w:t>E. 1</w:t>
      </w:r>
    </w:p>
    <w:p>
      <w:r>
        <w:t>La recevabilité étant admise, est litigieuse la question de savoir si le recourant a rendu plausible une aggravation de son état de santé postérieurement à la décision du 25 janvier 2017 rejetant sa première demande de prestations.</w:t>
      </w:r>
    </w:p>
    <w:p>
      <w:r>
        <w:rPr>
          <w:b/>
        </w:rPr>
        <w:t>E. 2.1</w:t>
      </w:r>
    </w:p>
    <w:p>
      <w:r>
        <w:t>Selon l’art. 17 al. 2 de la loi fédérale sur la partie générale du droit des assurances sociales du 6 octobre 2000 (LPGA - RS 830.1), toute prestation durable accordée en vertu d’une décision entrée en force est, d’office ou sur demande, augmentée ou réduite en conséquence, ou encore supprimée si les circonstances dont dépendait son octroi changent notablement.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A/98/2023 - 6/9 - degré d’invalidité lors d’une nouvelle révision de la rente (ATF 133 V 108 consid. 5.4 ; ATF 130 V 343 consid. 3.5.2).</w:t>
      </w:r>
    </w:p>
    <w:p>
      <w:r>
        <w:rPr>
          <w:b/>
        </w:rPr>
        <w:t>E. 2.2</w:t>
      </w:r>
    </w:p>
    <w:p>
      <w:r>
        <w:t>Selon l'art. 87 du règlement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rPr>
          <w:b/>
        </w:rPr>
        <w:t>E. 2.3</w:t>
      </w:r>
    </w:p>
    <w:p>
      <w:r>
        <w:t>La jurisprudence développée sous l'empire de l'art. 87 al. 3 et 4 RAI, en vigueur jusqu'au 31 décembre 2011, reste applicable à l'art. 87 al. 2 et 3 RAI modifié dès lors que la demande de révision doit répondre aux mêmes critères (ATAS/81/2023 du 6 février 2023 consid. 4.1).</w:t>
      </w:r>
    </w:p>
    <w:p>
      <w:r>
        <w:rPr>
          <w:b/>
        </w:rPr>
        <w:t>E. 2.4</w:t>
      </w:r>
    </w:p>
    <w:p>
      <w:r>
        <w:t>L’exigence de l’art. 87 al. 3 RAI (ATF 109 V 262 consid. 3)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w:t>
      </w:r>
    </w:p>
    <w:p>
      <w:r>
        <w:rPr>
          <w:b/>
        </w:rPr>
        <w:t>E. 2.5</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w:t>
      </w:r>
    </w:p>
    <w:p>
      <w:r>
        <w:t>A/98/2023 - 7/9 -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 consid. 3.2).</w:t>
      </w:r>
    </w:p>
    <w:p>
      <w:r>
        <w:rPr>
          <w:b/>
        </w:rPr>
        <w:t>E. 2.6</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L'examen du juge est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3</w:t>
      </w:r>
    </w:p>
    <w:p>
      <w:r>
        <w:t>En l'espèce, le Dr C______ n’émet dans son expertise du 22 mai 2016 aucun diagnostic avec incidence sur la capacité de travail, tout en retenant des troubles mentaux et troubles du comportement liés à l’utilisation d’alcool, syndrome de dépendance, actuellement abstinent, et un trouble anxio-dépressif mixte. La symptomatologie était insuffisante pour retenir un diagnostic séparé de dépression ou de trouble anxieux. L'expert note en outre que le recourant dispose d'un bon réseau professionnel, relationnel et amical. Par la suite, l’état de santé du recourant s’est cependant manifestement aggravé, comme l’atteste la Dre D______ dans son rapport du 25 février 2022. Celle-ci le suit depuis janvier 2018 et, à ce moment, il présentait une angoisse massive, des cauchemars très violents, une hyper-vigilance, des hallucinations acoustico- verbales de type persécutoire, une thymie dépressive et des idées suicidaires. En raison de ces atteintes psychiques, il avait des difficultés à tenir son ménage, à garder un rythme de vie quotidien, oubliant parfois de manger et inversant régulièrement le rythme de veille-sommeil. Son isolement était majeur par manque d’intérêt et de plaisir, ainsi qu'à cause de l’hyper-vigilance qui rendait toute sortie désagréable. Par la suite, il a toutefois pu suivre un traitement EMDR en 2019 et intégrer un groupe hebdomadaire à l’Arcade 84 durant quelques mois. Cependant, une nouvelle aggravation progressive s’est produite pendant la pandémie en 2020, l’obligation de se masquer étant quasi insupportable pour le recourant et provoquant des angoisses de type persécutoire, liées aux agressions dont il avait été victime enfant. Par ailleurs, il n’y avait actuellement plus de dépendance à l’alcool et le traitement par EMDR confirme l’hypothèse d’agressions subies dans l’enfance, ce qui n’avait pu être mis en évidence par l’expert. Son isolement est toujours total. Il s'avère ainsi que, même si la symptomatologie n’était pas suffisante au moment de l’expertise en mars 2016 pour avoir une incidence sur la capacité de travail,</w:t>
      </w:r>
    </w:p>
    <w:p>
      <w:r>
        <w:t>A/98/2023 - 8/9 - elle s’est péjorée par la suite. Après une amélioration relative passagère, le recourant a rechuté pendant la pandémie, selon le rapport du 22 décembre 2022 de la psychiatre traitante. Son incapacité de travail est totale. Ce n’est par ailleurs pas parce que la Dre B______ pose dans son rapport du 9 février 2015 déjà en partie les mêmes diagnostics que la Dre D______ et que l’expert constate en mars 2016 que les atteintes au niveau psychiatrique sont insuffisantes pour impacter la capacité de travail dans une activité adaptée, que l’état de santé du recourant ne peut pas se décompenser par la suite. Or, cela s’est précisément produit en l’occurrence. Partant, il s’avère que le recourant a rendu plausible une aggravation de son état de santé postérieurement à la décision du 25 janvier 2017, au moment du dépôt de sa demande de prestations en janvier 2022. L’intimé a ainsi refusé à tort d’entrer en matière sur sa nouvelle demande.</w:t>
      </w:r>
    </w:p>
    <w:p>
      <w:r>
        <w:rPr>
          <w:b/>
        </w:rPr>
        <w:t>E. 4</w:t>
      </w:r>
    </w:p>
    <w:p>
      <w:r>
        <w:t>En conséquence, le recours sera admis, la décision annulée et la cause renvoyée à l’intimé pour entrer en matière sur la demande de janvier 2022 du recourant.</w:t>
      </w:r>
    </w:p>
    <w:p>
      <w:r>
        <w:rPr>
          <w:b/>
        </w:rPr>
        <w:t>E. 5</w:t>
      </w:r>
    </w:p>
    <w:p>
      <w:r>
        <w:t>Dans la mesure où l'intimé succombe, un émolument de CHF 200.- sera mis à sa charge. ***</w:t>
      </w:r>
    </w:p>
    <w:p>
      <w:r>
        <w:t>A/98/2023 - 9/9 -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