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ATAS/406/2021 vom 4. Mai 2021</w:t>
      </w:r>
    </w:p>
    <w:p>
      <w:r>
        <w:t>GE Cour de justice, 2021-05-04, FR</w:t>
      </w:r>
    </w:p>
    <w:p>
      <w:r>
        <w:rPr>
          <w:b/>
        </w:rPr>
        <w:t xml:space="preserve">Quelle: </w:t>
      </w:r>
      <w:r>
        <w:t>https://mcp.opencaselaw.ch/entscheid/ge_gerichte_ATAS_406_2021</w:t>
      </w:r>
    </w:p>
    <w:p>
      <w:r>
        <w:t>FR: GE_GERICHTE ATAS/406/2021 du 4 mai 2021</w:t>
      </w:r>
    </w:p>
    <w:p>
      <w:r>
        <w:t>IT: GE_GERICHTE ATAS/406/2021 del 4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loi sur la procédure administrative du 12 septembre 1985 [LPA - E 5 10]). Interjeté dans la forme et le délai prescrits par la loi, le recours est recevable.</w:t>
      </w:r>
    </w:p>
    <w:p>
      <w:r>
        <w:rPr>
          <w:b/>
        </w:rPr>
        <w:t>E. 4</w:t>
      </w:r>
    </w:p>
    <w:p>
      <w:r>
        <w:t>Le litige porte sur le droit de la recourante à des prestations de l’assurance-invalidité.</w:t>
      </w:r>
    </w:p>
    <w:p>
      <w:r>
        <w:rPr>
          <w:b/>
        </w:rPr>
        <w:t>E. 4.1</w:t>
      </w:r>
    </w:p>
    <w:p>
      <w:r>
        <w:t>Avec répercussion sur la capacité de travail ;</w:t>
      </w:r>
    </w:p>
    <w:p>
      <w:r>
        <w:rPr>
          <w:b/>
        </w:rPr>
        <w:t>E. 4.1.1</w:t>
      </w:r>
    </w:p>
    <w:p>
      <w:r>
        <w:t>Dates d'apparition ;</w:t>
      </w:r>
    </w:p>
    <w:p>
      <w:r>
        <w:rPr>
          <w:b/>
        </w:rPr>
        <w:t>E. 4.2</w:t>
      </w:r>
    </w:p>
    <w:p>
      <w:r>
        <w:t>Sans répercussion sur la capacité de travail ;</w:t>
      </w:r>
    </w:p>
    <w:p>
      <w:r>
        <w:rPr>
          <w:b/>
        </w:rPr>
        <w:t>E. 4.2.1</w:t>
      </w:r>
    </w:p>
    <w:p>
      <w:r>
        <w:t>Dates d'apparition ;</w:t>
      </w:r>
    </w:p>
    <w:p>
      <w:r>
        <w:rPr>
          <w:b/>
        </w:rPr>
        <w:t>E. 4.3</w:t>
      </w:r>
    </w:p>
    <w:p>
      <w:r>
        <w:t>L'état de santé de la personne expertisée s'est-il amélioré / détérioré depuis le mois de juillet 2017 (premiers certificats d’arrêt de travail établis par le Dr C______) ? Qu’en est-il depuis le 30 juillet 2018 (date de l’examen du Dr G______)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- 16/30-</w:t>
      </w:r>
    </w:p>
    <w:p>
      <w:r>
        <w:t>A/4382/2019</w:t>
      </w:r>
    </w:p>
    <w:p>
      <w:r>
        <w:rPr>
          <w:b/>
        </w:rPr>
        <w:t>E. 5.1</w:t>
      </w:r>
    </w:p>
    <w:p>
      <w:r>
        <w:t>Indiquer quelles sont les limitations fonctionnelles.</w:t>
      </w:r>
    </w:p>
    <w:p>
      <w:r>
        <w:rPr>
          <w:b/>
        </w:rPr>
        <w:t>E. 5.2</w:t>
      </w:r>
    </w:p>
    <w:p>
      <w:r>
        <w:t>Les plaintes sont-elles objectivées ? 6. Cohérence</w:t>
      </w:r>
    </w:p>
    <w:p>
      <w:r>
        <w:t>- 28/30-</w:t>
      </w:r>
    </w:p>
    <w:p>
      <w:r>
        <w:t>A/4382/2019</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w:t>
      </w:r>
    </w:p>
    <w:p>
      <w:r>
        <w:t>- 17/30-</w:t>
      </w:r>
    </w:p>
    <w:p>
      <w:r>
        <w:t>A/4382/2019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rPr>
          <w:b/>
        </w:rPr>
        <w:t>E. 6.4</w:t>
      </w:r>
    </w:p>
    <w:p>
      <w:r>
        <w:t>Les limitations du niveau d’activité sont-elles uniformes dans tous les domaines de la vie (activité lucrative, ménage, loisirs et activités sociales) ? Quel est le niveau d’activité sociale et comment a-t-il évolué depuis la survenance de l’atteinte à la santé ? Veuillez comparer avec le niveau d’activité sociale avant l’atteinte à la santé. 7. Personnalité 7.1 Est-ce que la personne expertisée présente un trouble de la personnalité selon les critères diagnostiques des ouvrages de référence et si oui, lequel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les plans : a) psychique ; b) mental ; c) social et familial. En particulier, la personne expertisée peut-elle compter sur le soutien de ses proches (ex-mari, famille, amis) ? 9. Capacité de travail 9.1 La personne expertisée est-elle capable d’exercer son activité lucrative antérieure (cheffe de projet marketing) ? 9.1.1 Si non, ou seulement dans une mesure restreinte, pour quels motifs ?</w:t>
      </w:r>
    </w:p>
    <w:p>
      <w:r>
        <w:t>- 29/30-</w:t>
      </w:r>
    </w:p>
    <w:p>
      <w:r>
        <w:t>A/4382/2019 9.1.2 Depuis quelle date la capacité de travail est-elle réduite / nulle ? 9.2 La personne expertisée est-elle capable d’exercer une activité lucrative adaptée à ses limitations fonctionnelles ? 9.2.1 Si non, ou seulement dans une mesure restreinte, pour quels motifs ? Quelles sont les limitations fonctionnelles qui entrent en ligne de compte ? 9.2.2 Si oui, à quel taux (en pourcent) et depuis quelle date une activité adaptée aux limitations fonctionnelles est-elle exigible ? Quel domaine d’activité serait adapté ? 9.3 Des mesures médicales sont-elles nécessaires préalablement à la reprise d’une activité lucrative ? Si oui, lesquelles ? 9.4 Comment la capacité de travail de la personne expertisée a-t-elle évolué depuis juillet 2017 ? 9.5 Quel est votre pronostic quant à l’exigibilité de la reprise d’une activité lucrative ? 10. Traitement 10.1 Examen du traitement suivi par la personne expertisée et analyse de son adéquation. Ce traitement a-t-il permis d’améliorer l’état de santé et la capacité de travail de la personne expertisée ?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Appréciation d'avis médicaux du dossier</w:t>
      </w:r>
    </w:p>
    <w:p>
      <w:r>
        <w:rPr>
          <w:b/>
        </w:rPr>
        <w:t>E. 11</w:t>
      </w:r>
    </w:p>
    <w:p>
      <w:r>
        <w:t>juillet 2019 consid. 7). En l’absence d’un diagnostic psychiatrique, une telle appréciation n’a pas non plus à être effectuée (arrêt du Tribunal fédéral 9C_176/2018 du 16 août 2018 consid. 3.2.2). e.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arrêts du Tribunal fédéral 9C_808/2019 du 18 août 2020 consid. 5.2 et 9C_109/2018 du</w:t>
      </w:r>
    </w:p>
    <w:p>
      <w:r>
        <w:rPr>
          <w:b/>
        </w:rPr>
        <w:t>E. 11.1</w:t>
      </w:r>
    </w:p>
    <w:p>
      <w:r>
        <w:t>Êtes-vous d'accord avec les diagnostics et les conclusions formulées par le Dr G______, en particulier avec l'estimation d'une capacité de travail de 100 % dans toute profession dès le 27 septembre 2018 ? Indiquer pour quelles raisons cet avis est confirmé ou écarté.</w:t>
      </w:r>
    </w:p>
    <w:p>
      <w:r>
        <w:rPr>
          <w:b/>
        </w:rPr>
        <w:t>E. 11.2</w:t>
      </w:r>
    </w:p>
    <w:p>
      <w:r>
        <w:t>Êtes-vous d’accord avec les diagnostics et les conclusions formulées par les Drs E______ et F______ (cf. rapport des 8 juin et</w:t>
      </w:r>
    </w:p>
    <w:p>
      <w:r>
        <w:t>- 30/30-</w:t>
      </w:r>
    </w:p>
    <w:p>
      <w:r>
        <w:t>A/4382/2019 16 juillet 2018), en particulier avec l'estimation d'une capacité de travail nulle ? Indiquer pour quelles raisons ces avis sont confirmés ou écartés.</w:t>
      </w:r>
    </w:p>
    <w:p>
      <w:r>
        <w:rPr>
          <w:b/>
        </w:rPr>
        <w:t>E. 11.3</w:t>
      </w:r>
    </w:p>
    <w:p>
      <w:r>
        <w:t>Êtes-vous d’accord avec les diagnostics et les conclusions formulées par le Dr L______ (cf. rapports des 9 octobre 2019 et 28 avril 2020), en particulier avec l'estimation d'une capacité de travail de 50 % dès le 1er octobre 2019 dans une activité adaptée aux limitations fonctionnelles ? Indiquer pour quelles raisons cet avis est confirmé ou écarté. 12. Quel est le pronostic ? 13. Des mesures de réadaptation professionnelle sont-elles envisageables ? 14. Pouvez-vous vous déterminer sur la pertinence d’une thérapie auprès de l’Unité Karl Jaspers du CHUV ? Une telle mesure serait-elle appropriée et favoriserait-elle l’état de santé de la recourante ? 15. 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Marie NIERMARÉCHAL</w:t>
      </w:r>
    </w:p>
    <w:p>
      <w:r>
        <w:t>La présidente</w:t>
      </w:r>
    </w:p>
    <w:p>
      <w:r>
        <w:t>Marine WYSSENBACH</w:t>
      </w:r>
    </w:p>
    <w:p>
      <w:r>
        <w:t>Une copie conforme de la présente ordonnance est notifiée aux parties le</w:t>
      </w:r>
    </w:p>
    <w:p>
      <w:r>
        <w:rPr>
          <w:b/>
        </w:rPr>
        <w:t>E. 15</w:t>
      </w:r>
    </w:p>
    <w:p>
      <w:r>
        <w:t>juin 2018 consid. 5.1).</w:t>
      </w:r>
    </w:p>
    <w:p>
      <w:r>
        <w:t>- 18/30-</w:t>
      </w:r>
    </w:p>
    <w:p>
      <w:r>
        <w:t>A/4382/2019 7.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w:t>
      </w:r>
    </w:p>
    <w:p>
      <w:r>
        <w:t>- 19/30-</w:t>
      </w:r>
    </w:p>
    <w:p>
      <w:r>
        <w:t>A/4382/2019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w:t>
      </w:r>
    </w:p>
    <w:p>
      <w:r>
        <w:rPr>
          <w:b/>
        </w:rPr>
        <w:t>E. 17</w:t>
      </w:r>
    </w:p>
    <w:p>
      <w:r>
        <w:t>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w:t>
      </w:r>
    </w:p>
    <w:p>
      <w:r>
        <w:t>- 20/30-</w:t>
      </w:r>
    </w:p>
    <w:p>
      <w:r>
        <w:t>A/4382/2019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t>- 21/30-</w:t>
      </w:r>
    </w:p>
    <w:p>
      <w:r>
        <w:t>A/4382/2019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- 22/30-</w:t>
      </w:r>
    </w:p>
    <w:p>
      <w:r>
        <w:t>A/4382/2019 indice que la limitation fonctionnelle est due à d’autres raisons qu’à l'atteinte à la santé assurée (ATF 141 V 281 consid. 4.4.2). 8.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w:t>
      </w:r>
    </w:p>
    <w:p>
      <w:r>
        <w:t>- 23/30-</w:t>
      </w:r>
    </w:p>
    <w:p>
      <w:r>
        <w:t>A/4382/2019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w:t>
      </w:r>
    </w:p>
    <w:p>
      <w:r>
        <w:rPr>
          <w:b/>
        </w:rPr>
        <w:t>E. 22</w:t>
      </w:r>
    </w:p>
    <w:p>
      <w:r>
        <w:t>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w:t>
      </w:r>
    </w:p>
    <w:p>
      <w:r>
        <w:t>- 24/30-</w:t>
      </w:r>
    </w:p>
    <w:p>
      <w:r>
        <w:t>A/4382/2019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arrêts du Tribunal fédéral 9C_808/2019 du 18 août 2020 consid. 5.2. et 9C_109/2018 du 15 juin 2018 consid. 5.1).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w:t>
      </w:r>
    </w:p>
    <w:p>
      <w:r>
        <w:t>- 25/30-</w:t>
      </w:r>
    </w:p>
    <w:p>
      <w:r>
        <w:t>A/4382/2019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12. En l’occurrence, l’intimé, dans sa décision du 28 octobre 2019, a refusé d’accorder à la recourante toute prestation d’invalidité, en se fondant sur les conclusions de l’expert mandaté par l’assurance perte de gain, le Dr G______, qui a conclu au recouvrement par l’intéressée d’une pleine capacité de travail dès le</w:t>
      </w:r>
    </w:p>
    <w:p>
      <w:r>
        <w:rPr>
          <w:b/>
        </w:rPr>
        <w:t>E. 27</w:t>
      </w:r>
    </w:p>
    <w:p>
      <w:r>
        <w:t>septembre 2018 (cf. rapport d’expertise du 1er août 2018). La recourante conteste cette expertise et se prévaut des rapports établis par ses médecins, les Drs L______ et I______, dont elle déduit que l’exercice d’une profession adaptée n’aurait été envisageable qu’à 50 %, et seulement depuis le mois d’octobre 2019. Elle sollicite l’octroi d’une rente et de mesures de réinsertion, respectivement de mesures d’ordre professionnel. 13. La capacité résiduelle de travail et l’ampleur de celle-ci étant contestées, il convient d’examiner la valeur probante des rapports versés au dossier. a. S’agissant tout d’abord de l’expertise confiée par l’assurance perte de gain à la Clinique Corela, on rappellera que la question de la force probante des expertises réalisées par cette clinique a donné lieu à l’arrêt du Tribunal fédéral 2C_32/2017 du 22 décembre 2017 relatif au retrait de l’autorisation d’exploitation, puis à l’ATF 144 V 258. Dans ce dernier arrêt, le Tribunal fédéral a relevé que les manquements constatés dans la procédure relative au retrait de l'autorisation d’exploitation soulevaient de sérieux doutes quant à la manière dont des dizaines d'expertises avaient été effectuées au sein de cet établissement et portaient atteinte à la confiance que les personnes assurées et les organes de l'assurance-invalidité étaient en droit d'accorder à l'institution chargée de l'expertise. Les juges fédéraux en ont déduit qu’il n’était pas admissible de reprendre les conclusions d’une expertise qui avait été établie dans des circonstances ébranlant de manière générale la confiance placée dans l’institution mandatée à cet effet (ATF 144 V 258 consid. 2.3.2 ; arrêt 2C_32/2017 cité consid. 7.1). En conséquence, on ne saurait se fonder sur l’expertise de la Clinique Corela pour statuer sur le droit de la recourante à des prestations de l'assurance-invalidité. b. En ce qui concerne ensuite l’expertise réalisée par le Dr G______, en août 2018, force est d’admettre qu’elle ne permet pas d’apprécier la capacité de travail conformément aux indicateurs déterminants prescrits par la nouvelle jurisprudence relative aux atteintes psychiques (ATF 143 V 418 ; ATF 141 V 281). On cherche</w:t>
      </w:r>
    </w:p>
    <w:p>
      <w:r>
        <w:t>- 26/30-</w:t>
      </w:r>
    </w:p>
    <w:p>
      <w:r>
        <w:t>A/4382/2019 notamment en vain dans cette expertise une évaluation des ressources personnelles de la recourante, ainsi que la détermination de l’expert sur une éventuelle limitation uniforme des niveaux d’activités dans tous les domaines comparables de la vie (ATF 141 V 281 consid. 4.4.1). On ignore, entre autres, si le niveau d’activité sociale a diminué depuis la survenance de l’atteinte à la santé. La question du contexte social, respectivement familial, et celle de savoir si ce contexte social est susceptible de fournir des ressources à la recourante (ATF 141 V 281 consid. 4.3.3), n’a pas véritablement été abordée non plus par l’expert. À ce propos, on relèvera que si l’expert a qualifié de « positive » la relation que la recourante entretenait avec son mari, cet aspect relationnel semble s’être péjoré depuis la réalisation de l’expertise, puisque le mari aurait quitté le domicile conjugal en juin 2019 – soit quelques mois avant le prononcé de la décision attaquée – et que le couple aurait divorcé en novembre 2019, selon le registre informatisé de l’OCPM. S’agissant du critère du succès (ou de l’échec) du traitement, le rapport d’expertise ne renseigne pas non plus de manière complète sur la question, puisque l’expert a certes mentionné le traitement (anxiolytique et antidépresseur) prescrit à la recourante, mais sans préciser s’il avait permis d’améliorer son état de santé ou si au contraire, il s’était soldé par un échec (ATF 141 V 281 consid. 4.3.1.2). Dans la mesure où l’expertise du Dr G______ ne permet pas une appréciation concluante à l’aune des indicateurs déterminants, elle ne saurait se voir reconnaître une pleine valeur probante. c. Quant aux rapports établis par les médecins traitants de la recourante, il en ressort des diagnostics et des conclusions divergentes par rapport à la pleine capacité de travail retenue par le Dr G______, ce qui est propre à éveiller certains doutes sur le bien-fondé des conclusions de l’expert. En particulier, les Drs E______ et F______ ont conclu, en juin-juillet 2018, à un état dépressif sévère et à une capacité de travail nulle, tandis que le Dr L______ a retenu, en octobre 2019, une capacité de travail de 50 % dans une activité adaptée, après avoir diagnostiqué un trouble dépressif récurrent, épisode actuel moyen, et une personnalité narcissique. Au vu de ces conclusions divergentes et du caractère incomplet de l’expertise du Dr G______, il se justifie de mettre en œuvre une expertise judiciaire psychiatrique. ******</w:t>
      </w:r>
    </w:p>
    <w:p>
      <w:r>
        <w:t>- 27/30-</w:t>
      </w:r>
    </w:p>
    <w:p>
      <w:r>
        <w:t>A/4382/2019 PAR CES MOTIFS, LA CHAMBRE DES ASSURANCES SOCIALES : Statuant préparatoirement I. Ordonne une expertise judiciaire psychiatrique. 1. Commet à ces fins le docteur O______, spécialiste FMH en psychiatrie et psychothérapie. Dit que la mission d’expertise sera la suivante : A. Prendre connaissance du dossier de la cause. B. Si nécessaire, prendre tous renseignements auprès des médecins ayant traité la personne expertisée, en particulier les docteurs L______ et E______. C. Effectuer un dosage sanguin des psychotropes. D. Examiner et entendre la personne expertisée et si nécessaire, ordonner d’autres examens. E. Charge l’expert d’établir un rapport détaillé comprenant les éléments suivants : 1. Anamnèse détaillée (avec la description d’une journée-type) ; 2. Plaintes de la personne expertisée ; 3. Status clinique et constatations objectives ; 4. Diagnostics selon la classification internationale ;</w:t>
      </w:r>
    </w:p>
    <w:p>
      <w:r>
        <w:t>Précisez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