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ATAS/406/2015 vom 8. Juni 2015</w:t>
      </w:r>
    </w:p>
    <w:p>
      <w:r>
        <w:t>GE Cour de justice, 2015-06-08, FR</w:t>
      </w:r>
    </w:p>
    <w:p>
      <w:r>
        <w:rPr>
          <w:b/>
        </w:rPr>
        <w:t xml:space="preserve">Quelle: </w:t>
      </w:r>
      <w:r>
        <w:t>https://mcp.opencaselaw.ch/entscheid/ge_gerichte_ATAS_406_2015</w:t>
      </w:r>
    </w:p>
    <w:p>
      <w:r>
        <w:t>FR: GE_GERICHTE ATAS/406/2015 du 8 juin 2015</w:t>
      </w:r>
    </w:p>
    <w:p>
      <w:r>
        <w:t>IT: GE_GERICHTE ATAS/406/2015 del 8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A/2337/2014 - 11/20 -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a. Le délai de recours est de 30 jours (art. 60 al. 1 LPGA). b. Selon l'art. 61 LPGA, sous réserve de l'art. 1 al. 3 loi fédérale sur la procédure administrative du 20 décembre 1968 (PA - RS 172.021), la procédure devant le tribunal cantonal des assurances est réglée par le droit cantonal. Elle doit notamment satisfaire aux exigences suivantes : a. Elle doit être simple, rapide, en règle générale publique, ainsi que gratuite pour les parties (sauf exception ou dérogation, notamment en l'espèce en matière d'AI, selon l'art. 69 al. 1bis LAI) ; les émoluments de justice et les frais de procédure peuvent toutefois être mis à la charge de la partie qui agit de manière téméraire ou témoigne de légèreté ; b. L'acte de recours doit contenir un exposé succinct des faits et des motifs invoqués, ainsi que les conclusions ; si l'acte n'est pas conforme à ces règles, le tribunal imparti un délai convenable recourant pour combler les lacunes, en l'avertissant qu'en cas d'inobservation le recours sera écarté ;… Conformément à la disposition qui précède (art. 61 let. b LPGA en particulier), en droit cantonal genevois, selon l'art. 89B de la loi sur la procédure administrative du 12 septembre 1985 (LPA-GE - E 5 10)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 2). Si la lettre ou le mémoire n'est pas conforme à ces règles, la chambre des assurances sociales de la Cour de justice(19) impartit un délai convenable à son auteur pour le compléter en indiquant qu'en cas d'inobservation la demande ou le recours est écarté (al. 3). c. Le présent recours a été déposé dans le délai de 30 jours prévu par l’art. 60 al. 1 LPGA. Toutefois, estimant qu’il ne satisfaisait pas aux exigences formelles de contenu d’un acte de recours, la chambre de céans a imparti au recourant, par courrier recommandé du 21 octobre 2014, un délai au 12 novembre 2014 pour</w:t>
      </w:r>
    </w:p>
    <w:p>
      <w:r>
        <w:t>A/2337/2014 - 12/20 - compléter son recours et le rendre conforme, sous peine d'irrecevabilité, aux exigences de l'art. 89B LPA. d. Il importe que la juridiction cantonale puisse comprendre, au regard du recours (et le cas échéant de son complément)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ou/et repose sur des faits établis de façon inexacte ou incomplète (art. 61 al. 1 let. b LPA) ; - ce que le recourant demande de la juridiction saisie. Ces exigences sont peu élevées. Elles ont pour but de permettre à la juridiction administrative de déterminer l’objet du litige qui lui est soumis et de donner l’occasion à la partie intimée de répondre aux griefs formulés à son encontre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 recourant ce que celui-ci devait requérir d’elle. e. En l'espèce, la question se pose de savoir si le courrier du psychiatre traitant du 12 novembre 2014 et son annexe répondent aux exigences des dispositions susmentionnées. En effet, même en rapprochant la lettre introductive du recours, cosignée par le médecin traitant et le recourant, et le rapport médical produit en guise de complément au recours par le psychiatre traitant, si l'on comprend que le recourant conteste la décision entreprise, il est difficile en revanche d'en cerner les faits pertinents de la cause, les motifs et conclusions. Pour le médecin traitant, le recourant présente des polymorbidités avec des éléments psychiques qui nécessitent une prise en charge spécialisée, avec la précision que le patient a débuté une thérapie (dans ce sens et postérieurement à la décision entreprise). Quant à la psychiatre traitante, elle indique : « Je concorde avec la majeure partie des observations décrites dans les trois expertises. » Mais elle indique qu'en plus elle poserait les diagnostics complémentaires de psychose infantile et de troubles de la personnalité, concluant qu'elle est « en accord avec la position du Dr … (médecin traitant), en allant plus loin : le patient pourrait avoir une activité à temps partiel, dans un cadre protégé ou bien un milieu très favorable ».</w:t>
      </w:r>
    </w:p>
    <w:p>
      <w:r>
        <w:t>A/2337/2014 - 13/20 - Il apparaît ainsi difficile de comprendre quels griefs sont faits à la décision entreprise, sinon que le recourant la conteste, et à quoi tendent effectivement ses conclusions. Ainsi, bien que très douteuse, la question de la recevabilité du présent recours peut rester ouverte, compte tenu de l'issue du litige, comme on va le voir.</w:t>
      </w:r>
    </w:p>
    <w:p>
      <w:r>
        <w:rPr>
          <w:b/>
        </w:rPr>
        <w:t>E. 5</w:t>
      </w:r>
    </w:p>
    <w:p>
      <w:r>
        <w:t>Le litige porte sur le droit du recourant à des prestations de l'assurance-invalidité, singulièrement sur la question de savoir si le recourant subit une incapacité de gain totale ou partielle en raison d'une infirmité congénitale, d'une maladie ou d'un accident.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A/2337/2014 - 14/20 -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En ce qui concerne les rapports établis par les médecins traitants, le juge peut et doit tenir compte du fait que, selon l'expérience, le médecin traitant est</w:t>
      </w:r>
    </w:p>
    <w:p>
      <w:r>
        <w:t>A/2337/2014 - 15/20 -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A/2337/2014 - 16/20 -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t>A/2337/2014 - 17/20 -</w:t>
      </w:r>
    </w:p>
    <w:p>
      <w:r>
        <w:rPr>
          <w:b/>
        </w:rPr>
        <w:t>E. 12</w:t>
      </w:r>
    </w:p>
    <w:p>
      <w:r>
        <w:t>Dans le cas d'espèce, le recourant, contresignant l'acte de recours rédigé par son médecin traitant, se borne à alléguer, à l'appui de sa contestation de la décision de l'intimé du 9 juillet 2014, le fait qu'il présenterait des polymorbidités avec des éléments psychiques qui nécessitent une prise en charge spécialisée, et à indiquer qu'il a débuté une thérapie auprès de la Dresse Q______. Ce faisant, il n'a en rien critiqué le rapport d'expertise pluridisciplinaire à la base de la décision de refus de prestations, présentement entreprise. Dans le cadre du complément au recours, ordonné par la chambre de céans, le recourant représenté par son psychiatre traitant, ne critique pas davantage le rapport d'expertise sur lequel se fonde la décision entreprise, au contraire : elle souscrit à la majeure partie des observations décrites par les experts, et elle se borne à remarquer qu'elle poserait les diagnostics complémentaires de psychose infantile et de troubles de la personnalité. Elle n'apporte toutefois aucune justification à ces affirmations, et ne dit surtout pas en quoi les diagnostics complémentaires qu'elle suggère, à supposer qu'ils soient fondés, devraient conduire à des conclusions différentes de celles auxquelles sont parvenus les experts pluridisciplinaires qui se sont prononcés sur le cas, en quoi l'expertise en question serait lacunaire, ou encore quels éléments objectivement démontrables auraient été ignorés des experts et jetteraient ainsi un doute quant à la fiabilité des conclusions auxquelles sont parvenus les experts. Il y a donc lieu dans un premier temps d'examiner si l'on peut, comme le soutient l'intimé, fort de l'avis de son service médical, reconnaître toute valeur probante à l'expertise pluridisciplinaire qu'il avait confiée à des médecins indépendants, désignés selon la procédure habituelle par le CEMED. La chambre de céans, se référant au descriptif et résumé qu'elle a dressés du rapport d'expertise pluridisciplinaire du 1er avril 2014, (En fait ad ch. 13) , constate que les experts désignés ont examiné l'assuré, chacun par rapport à sa propre spécialité, après avoir pris connaissance du dossier de manière approfondie, personnellement et à travers un collègue n'ayant pas participé aux examens, ont procédé à une anamnèse complète, et effectué des examens complémentaires ; ils ont également sollicité les informations nécessaires des médecins traitants, respectivement les HUG, établissement qui avait déjà procédé à une approche pluridisciplinaire (neurologique, psychiatriques et de médecine interne). Les experts ont examiné, seuls et en confrontation, l'intégralité des documents médicaux à disposition, en ayant soigneusement tenu compte des plaintes de l'assuré, chacun dans son domaine de prédilection, et sont en définitive arrivés à des conclusions cohérentes, exempte de toute contradiction, se prononçant sur toutes les questions à résoudre, confrontant leurs observations et conclusions à celles des médecins traitants, pour constater qu'à la seule exception du médecin traitant, leurs conclusions se rejoignaient. Ainsi, les experts ont constaté que tant le Dr H______ que la Prof R______ ont exprimé des doutes importants quant à la nature épileptique des malaises, laquelle n'a pas pu être prouvée, malgré les investigations électroencéphalographie pratiquées. Les experts ont en revanche relevé que les</w:t>
      </w:r>
    </w:p>
    <w:p>
      <w:r>
        <w:t>A/2337/2014 - 18/20 - neurologues traitants ne se sont pas positionnés sur la capacité de travail. Leur appréciation a en revanche été confirmée par l'expert neurologue, savoir que l'origine comitiale des troubles reste très incertaine et qu'il est clairement plus probable qu'il s'agisse de phénomènes psychogènes. S'agissant de l'incapacité de travail retenue par le Dr B______, selon les experts, les éléments neurologiques à disposition ne permettent pas de retenir une incapacité de travail et il y a donc effectivement une divergence quant à l'appréciation de la capacité de travail entre le médecin traitant et les experts. Sur le plan psychiatrique les experts ont encore précisé qu'ils rejoignaient l'avis du Dr F______, psychiatre, concernant le diagnostic de trouble de la personnalité. La chambre de céans remarque à ce sujet que les diagnostics « complémentaires » proposés par la psychiatre traitante avaient d'ores et déjà été posés par le confrère qui avait précédemment suivi le recourant, en particulier lors de l'événement dépressif moyen de 2009, les experts ayant toutefois précisé qu'à l'heure actuelle (et depuis octobre 2009) on ne retrouve aucun trouble psychiatrique spécifique. En conclusion, les experts indiquent que l'assuré ne présente pas d'atteinte à la santé ayant des répercussions sur la capacité de travail, pour autant que cette activité soit adaptée et respecte les quelques limitations fonctionnelles décrites, soit les activités à risques majeurs de blessure, en cas de malaise/confusion (quelle qu'en soit l'origine) et une activité nécessitant la conduite professionnelle d'un véhicule automobile. Les maladies sans répercussions sur la capacité de travail sont des malaises d'étiologie probablement psychogène, des céphalées clairement tensionnelles, et une personnalité paranoïaque. Hormis l'épisode dépressif moyen de 2009 qui a conduit à son incapacité de travail, qui a régressé jusqu'à devenir nulle, la capacité de travail dans une activité respectant les quelques limitations fonctionnelles est complète en temps et rendement, dans l'activité antérieure ainsi que dans toute autre activité potentiellement exigible. Le rapport d'expertise étant complet, ne contenant pas de contradictions, ses conclusions étant dûment motivées, il a pleine valeur probante, d'autant qu'aucun élément médical n'a été produit qui en contredirait les conclusions sur la base d'éléments objectivement vérifiables. En effet, non seulement le psychiatre traitant actuel du recourant indique clairement partager l'essentiel des conclusions auxquelles parviennent les experts pluridisciplinaires, mais lorsqu'il paraît proposer un diagnostic complémentaire, il s'avère que celui-ci avait déjà été posé, et avait été pris en compte par les experts - ce qui a d'ailleurs été relevé par le SMR a qui a été soumis, en cours de procédure judiciaire, ce rapport médical venu complétait le recours -. Mais surtout, ce médecin ne dit pas en quoi les diagnostics complémentaires qu'il suggère modifieraient les conclusions des experts. Il ne dit pas même si ces diagnostics complémentaires ont, selon lui, une incidence ou pas sur la capacité de travail. Il ne se prononce d'ailleurs pas sur cette question, se bornant à se dire d'accord avec le médecin traitant. Or, ce dernier n'a jamais pris position et surtout n'a jamais dit en</w:t>
      </w:r>
    </w:p>
    <w:p>
      <w:r>
        <w:t>A/2337/2014 - 19/20 - quoi le rapport d'expertise présenterait des lacunes ou des incohérences propres à susciter un doute quant à sa valeur probante. La chambre de céans remarque aussi, s'agissant en particulier de la lettre de sortie des HUG du 18 janvier 2011, consécutive à l'hospitalisation du recourant en particulier à des fins diagnostiques, en décembre 2010, que ce courrier avait notamment été adressé en copie au médecin traitant, qui n'a apparemment jamais jugé utile de le soumettre à l'OAI… Or, il est vraisemblable que si les résultats de ces investigations approfondies avaient été portés plus tôt à la connaissance de l'intimé, il n'aurait peut-être pas été amené à ordonner l'expertise pluridisciplinaire qu'il a en définitive mise en place. Au vu de ce qui précède, la chambre de céans constate que le rapport d'expertise pluridisciplinaire sur lequel se fonde la décision entreprise répond pleinement aux exigences de la jurisprudence et doit se voir ainsi reconnaître une pleine valeur probante. À l'inverse, l'opinion isolée du médecin traitant, écartée en connaissance de cause par les experts, n'est justifiée par aucun élément objectivement vérifiable. Cet avis est certes soutenu par le psychiatre traitant actuel, consulté par le recourant après la notification de la décision litigieuse. Mais ce dernier partage aussi l'essentiel des conclusions des experts. Il ne dit pas non plus en quoi la situation actuelle du recourant serait différente de ce qu'elle était au moment où les experts se sont prononcés, respectivement au moment où la décision attaquée a été rendue, et comporterait ainsi des éléments nouveaux. À supposer d'ailleurs que ce fût le cas, les éléments nouveaux devraient alors être soumis à l'OAI, qui devrait alors rendre une nouvelle décision, fondée s'il y avait lieu, sur les faits nouveaux survenus par hypothèse après la décision présentement entreprise. Ainsi la chambre de céans constate que le rapport d'expertise pluridisciplinaire du 1er avril 2014 doit se voir reconnaître une pleine valeur probante. Les conclusions des experts ont d'ailleurs été soumises à l'examen du SMR, lequel a procédé à la synthèse des renseignements médicaux versés au dossier, et reconnu lui aussi de façon convaincante la pleine valeur probante de ce rapport. Dans la mesure où médicalement il n'a été retenu aucune infirmité congénitale, maladie ou conséquence d'un accident entraînant une incapacité de gain totale ou partielle présumée permanente ou de longue durée, les experts ayant au contraire considéré que la capacité de travail tant dans l'activité de nettoyeur exercée en dernier lieu que dans toute activité adaptée, était pleine et entière, en temps et en rendement, c'est à juste titre que l'intimé a nié au recourant tout droit à des prestations.</w:t>
      </w:r>
    </w:p>
    <w:p>
      <w:r>
        <w:rPr>
          <w:b/>
        </w:rPr>
        <w:t>E. 13</w:t>
      </w:r>
    </w:p>
    <w:p>
      <w:r>
        <w:t>Au vu de ce qui précède, le recours sera rejeté. Etant donné que depuis le 1er juillet 2006, la procédure n'est plus gratuite (art. 69 al. 1bis LAI), il y a lieu de condamner le recourant au paiement d'un émolument de CHF 200.-</w:t>
      </w:r>
    </w:p>
    <w:p>
      <w:r>
        <w:t>A/2337/2014 - 20/20 -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