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ATAS/405/2025 vom 30. Mai 2025</w:t>
      </w:r>
    </w:p>
    <w:p>
      <w:r>
        <w:t>GE Cour de justice, 2025-05-30, FR</w:t>
      </w:r>
    </w:p>
    <w:p>
      <w:r>
        <w:rPr>
          <w:b/>
        </w:rPr>
        <w:t xml:space="preserve">Quelle: </w:t>
      </w:r>
      <w:r>
        <w:t>https://mcp.opencaselaw.ch/entscheid/ge_gerichte_ATAS_405_2025</w:t>
      </w:r>
    </w:p>
    <w:p>
      <w:r>
        <w:t>FR: GE_GERICHTE ATAS/405/2025 du 30 mai 2025</w:t>
      </w:r>
    </w:p>
    <w:p>
      <w:r>
        <w:t>IT: GE_GERICHTE ATAS/405/2025 del 30 maggio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A/1519/2024 - 5/24 - d’exécution, sont applicables par analogie en cas de silence de la législation cantonale (art. 1A LPCC). Le délai de recours est de 30 jours (art. 60 al. 1 LPGA ; art. 43 LPCC ; art. 62 al. 1 let. a de la loi sur la procédure administrative du 12 septembre 1985 [LPA-GE - E 5 10] et art. 43 LPCC).</w:t>
      </w:r>
    </w:p>
    <w:p>
      <w:r>
        <w:rPr>
          <w:b/>
        </w:rPr>
        <w:t>E. 2.2</w:t>
      </w:r>
    </w:p>
    <w:p>
      <w:r>
        <w:t>Interjeté dans la forme et le délai prévus par la loi, compte tenu de la suspension des délais du 7e jour avant Pâques au 7e jour après Pâques inclusivement (art. 38 al. 4 let. a LPGA et art. 89C let. a LPA), le recours est recevable (art. 56 ss LPGA et 62 ss LPA).</w:t>
      </w:r>
    </w:p>
    <w:p>
      <w:r>
        <w:rPr>
          <w:b/>
        </w:rPr>
        <w:t>E. 3</w:t>
      </w:r>
    </w:p>
    <w:p>
      <w:r>
        <w:t>Le litige porte sur le montant des prestations complémentaires auxquelles le recourant a droit pour les années 2021, 2022 et 2023 ainsi que sur son droit à des prestations complémentaires à compter du 1er janvier 2024, singulièrement sur le montant des biens dessaisis à prendre en considération.</w:t>
      </w:r>
    </w:p>
    <w:p>
      <w:r>
        <w:rPr>
          <w:b/>
        </w:rPr>
        <w:t>E. 4.1</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modification aux bénéficiaires de prestations complémentaires pour lesquels la réforme des PC entraîne, dans son ensemble, une diminution de la prestation complémentaire annuelle ou la perte du droit à la prestation complémentaire annuelle.</w:t>
      </w:r>
    </w:p>
    <w:p>
      <w:r>
        <w:rPr>
          <w:b/>
        </w:rPr>
        <w:t>E. 4.2</w:t>
      </w:r>
    </w:p>
    <w:p>
      <w:r>
        <w:t>En l’occurrence, dès lors que c’est en date du 27 mars 2019 que le recourant a saisi le SPC d’une demande de prestations, la LPC et ses dispositions d’application, dans leur teneur en vigueur jusqu’au 31 décembre 2020, sont applicables pour calculer son droit pour la période du 1er mars 2019 au 31 décembre 2020. Pour la période allant du 1er janvier 2021 au 31 décembre 2023, il convient de faire un calcul comparatif pour connaître le droit le plus favorable. En revanche, en ce qui concerne la période débutant le 1er janvier 2024, soit trois ans après l’entrée en vigueur du nouveau droit, ce sont les nouvelles dispositions qui s’appliquent automatiquement. Aussi, les dispositions applicables seront citées dans leur ancienne (ci- après : aLPC) et leur nouvelle teneur (ci-après : LPC).</w:t>
      </w:r>
    </w:p>
    <w:p>
      <w:r>
        <w:rPr>
          <w:b/>
        </w:rPr>
        <w:t>E. 5.1.1</w:t>
      </w:r>
    </w:p>
    <w:p>
      <w:r>
        <w:t>Les personnes qui ont leur domicile et leur résidence habituelle en Suisse et qui remplissent les conditions personnelles prévues aux art. 4, 6 et 8 LPC ont droit à des prestations complémentaires. Depuis le 1er janvier 2021, elles doivent en outre remplir les conditions relatives à la fortune nette prévues à l’art. 9a LPC.</w:t>
      </w:r>
    </w:p>
    <w:p>
      <w:r>
        <w:t>A/1519/2024 - 6/24 - Ont ainsi droit aux prestations complémentaires notamment les personnes qui perçoivent une rente de vieillesse de l'assurance-vieillesse et survivants, conformément à l'art. 4 al. 1 let. a LPC (teneur inchangée). Selon l’art. 3 al. 1 LPC (teneur inchangée), les prestations complémentaires fédérales se composent de la prestation complémentaire annuelle et du remboursement des frais de maladie et d’invalidité. Jusqu’au 31 décembre 2020, l’art. 9 al. 1er aLPC disposait que le montant de la prestation complémentaire annuelle correspondait à la part des dépenses reconnues qui excède les revenus déterminants. Depuis le 1er janvier 2021, cette même disposition précise en outre que la prestation complémentaire correspond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Par ailleurs, selon l’art. 9a al. 1 nLPC, également entré en vigueur le 1er janvier 2021, les personnes dont la fortune nette est inférieure aux seuils suivants ont droit à des prestations complémentaires : CHF 100’000.- pour les personnes seules (let. a).</w:t>
      </w:r>
    </w:p>
    <w:p>
      <w:r>
        <w:rPr>
          <w:b/>
        </w:rPr>
        <w:t>E. 5.1.2</w:t>
      </w:r>
    </w:p>
    <w:p>
      <w:r>
        <w:t>Conformément à l’art. 4 LPCC, dont la teneur n’a pas été modifiée suite à la Réforme des PC, ont droit aux prestations complémentaires cantonales les personnes dont le revenu annuel déterminant n’atteint pas le revenu minimum cantonal d’aide sociale applicable. Dans un arrêt de principe, la chambre de céans a retenu qu’en l’absence d’une révision législative de la LPCC suite à la réforme de la LPC, les nouveaux seuils d’entrée liés à la fortune prévus à l’art. 9a al. 1 LPC étaient également applicables, depuis le 1er janvier 2021, à l’octroi des prestations complémentaires cantonales du fait du renvoi général qu'opère la LPCC à la LPC et du silence de la loi cantonale à ce sujet (cf. ATAS/521/2023 du 29 juin 2023).</w:t>
      </w:r>
    </w:p>
    <w:p>
      <w:r>
        <w:rPr>
          <w:b/>
        </w:rPr>
        <w:t>E. 5.2</w:t>
      </w:r>
    </w:p>
    <w:p>
      <w:r>
        <w:t>Jusqu’au 31 décembre 2020, l’art. 11 al. 1 aLPC prévoyait que : Les revenus déterminants comprennent : g. les ressources et parts de fortune dont un ayant droit s’est dessaisi ; Avec la Réforme des PC, entrée en vigueur le 1er janvier 2021, la lettre g de l’art. 11 al. 1 a été abrogée et un art. 11a a été introduit. Selon cette disposition : 1 Si une personne renonce volontairement à exercer une activité lucrative que l’on pourrait raisonnablement exiger d’elle, le revenu hypothétique correspondant est pris en compte comme revenu déterminant. La prise en compte de ce revenu est réglée par l’art. 11, al. 1, let. a. 2 Les autres revenus, parts de fortune et droits légaux ou contractuels auxquels l’ayant droit a renoncé sans obligation légale et sans contre-prestation adéquate sont pris en compte dans les revenus déterminants comme s’il n’y avait pas renoncé.</w:t>
      </w:r>
    </w:p>
    <w:p>
      <w:r>
        <w:t>A/1519/2024 - 7/24 - 3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100 000 francs, la limite est de</w:t>
      </w:r>
    </w:p>
    <w:p>
      <w:r>
        <w:rPr>
          <w:b/>
        </w:rPr>
        <w:t>E. 5.3</w:t>
      </w:r>
    </w:p>
    <w:p>
      <w:r>
        <w:t>S’agissant des prestations complémentaires cantonales, l’art. 5 LPCC, dont la teneur est restée inchangée, prévoit que le revenu déterminant est calculé conformément aux règles fixées dans la loi fédérale et ses dispositions d'exécution, moyennant certaines adaptations explicitées aux lettres a à c. 6.</w:t>
      </w:r>
    </w:p>
    <w:p>
      <w:r>
        <w:t>6.1 6.1.1 Selon la jurisprudence rendue antérieurement à la Réforme des PC, il y a dessaisissement lorsque la personne concernée a renoncé à des éléments de revenu ou de fortune sans obligation juridique et sans avoir reçu en échange une contre- prestation équivalente, ces deux conditions étant alternatives (ATF 140 V 267 consid. 2.2 et les références ; 134 I 65 consid. 3.2 et les références ;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Le Tribunal fédéral a précisé qu’un usage normal de la fortune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w:t>
      </w:r>
    </w:p>
    <w:p>
      <w:r>
        <w:t>A/1519/2024 - 8/24 -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P 65/04 du 29 août 2005 consid. 5.3.1).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6.1.2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aLPC. Il est augmenté, ensuite, du revenu que la contre-prestation aurait procuré à l'ayant droit (arrêt du Tribunal fédéral 9C_36/2014 du 7 avril 2014 consid. 3.2). En règle générale, la jurisprudence se réfère, pour fixer ce revenu, au taux d'intérêt moyen sur les dépôts d'épargne servi par l'ensemble des banques au cours de l'année précédant celle de l'octroi de la prestation complémentaire (ATF 123 V 35 consid. 2a).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6.2 Comme indiqué précédemment, depuis le 1er janvier 2021, la nLPC comporte un art. 11a al. 2 lequel contient une définition claire de la notion de dessaisissement qui faisait défaut dans le cadre de l'art. 11 al. 1 let. g aLPC.</w:t>
      </w:r>
    </w:p>
    <w:p>
      <w:r>
        <w:t>A/1519/2024 - 9/24 - Le dessaisissement est en outre précisé à l’art. 17b let. a de l'ordonnance sur les prestations complémentaires à l’assurance-vieillesse, survivants et invalidité du</w:t>
      </w:r>
    </w:p>
    <w:p>
      <w:r>
        <w:rPr>
          <w:b/>
        </w:rPr>
        <w:t>E. 10</w:t>
      </w:r>
    </w:p>
    <w:p>
      <w:r>
        <w:t>000 francs par année. Le Conseil fédéral règle les modalités; il définit en particulier la notion de « motif important ». 4 L’al. 3 s’applique aux bénéficiaires d’une rente de vieillesse de l’AVS également pour les dix années qui précèdent la naissance du droit à la rente. Selon l'al. 3 des dispositions transitoires de la modification du 22 mars 2019, l'art. 11a al. 3 et 4 LPC ne s'applique qu'à la fortune qui a été dépensée après l'entrée en vigueur de la modification (arrêt du Tribunal fédéral 9C_329/2023 du 21 août 2023 consid. 4.2). L'art. 11a al. 2 nLPC contient une définition claire de la notion de dessaisissement qui faisait défaut dans le cadre de l'art. 11 al. 1 let. g aLPC, sans qu'il ne modifie toutefois la pratique en matière de renonciation à des ressources ou de dessaisissement de fortune (cf. Message du Conseil fédéral relatif à la modification de la loi sur les prestations complémentaires [Réforme des PC] du 16 septembre 2016, FF 2016 7249 pp. 7322 et 7323).</w:t>
      </w:r>
    </w:p>
    <w:p>
      <w:r>
        <w:rPr>
          <w:b/>
        </w:rPr>
        <w:t>E. 10.13</w:t>
      </w:r>
    </w:p>
    <w:p>
      <w:r>
        <w:t>Compte USD B______ 13.11 -19.67 -84.79 -153.97 non connu Ex-C______ non connu non connu non connu non connu 1'315.92 Compte libanais n°1 544'744.25 298'525.47 155'052.45 22'614.87 1'935.87 Compte libanais n°2 2611.30 33'507.83 424.60 389.26 373.75 Fortune totale retenue par la CJCAS1 579'145.38 332'554.80 155'500.08 23'450.98 5'762.97 Fortune dépensée1 (CJCAS)</w:t>
      </w:r>
    </w:p>
    <w:p>
      <w:r>
        <w:t>246'590.58 177'054.71 132'049.10 17'708.15 Fortune totale retenue par le SPC2 579'132.003 330'045.00 155'487.00 24'543.00 non connu Fortune dépensée1 (SPC)</w:t>
      </w:r>
    </w:p>
    <w:p>
      <w:r>
        <w:t>249'087.00 174'558.00 130'944.00 non connu 1 La fortune dépensée en 2015 s’obtient en déduisant de la fortune au 31 décembre 2015 celle au 31 décembre 2014 et ainsi de même pour chacune des années litigieuses. 2 La différence entre les montants retenus par la Cour de céans et le SPC est vraisemblablement due au taux de change. 3 cf. décision sur opposition du 28 mars 2024 p. 5 : fortune devant rester au 31 décembre 2015 (CHF 451’444.81) + montant total devant être prélevé sur la fortune (CHF 127’687.19).</w:t>
      </w:r>
    </w:p>
    <w:p>
      <w:r>
        <w:t>A/1519/2024 - 14/24 - 9.2 9.2.1 Dans la décision sur opposition querellée, le SPC a imputé au recourant trois dessaisissements : CHF 121’399.81 en 2015, CHF 58’173.95 en 2016 et CHF 34’165.70 en 2017, lesquels ont été calculés comme suit (cf. décision sur opposition du 28 mars 2024, pièce 129 SPC) : a) Calcul du dessaisissement pour l’année 2015 : Ressources annuelles 2015 2'317.00 - Rentes</w:t>
      </w:r>
    </w:p>
    <w:p>
      <w:r>
        <w:t>- Autres revenus</w:t>
      </w:r>
    </w:p>
    <w:p>
      <w:r>
        <w:t>- Intérêts de l’épargne 2'317.00</w:t>
      </w:r>
    </w:p>
    <w:p>
      <w:r>
        <w:t>Charges annuelles 2015 63'346.00 - Loyer (charges comprises) 18'480.00 - Primes d’assurance-maladie 6'374.00 - Forfait pour la couverture des besoins de base 38'492.00</w:t>
      </w:r>
    </w:p>
    <w:p>
      <w:r>
        <w:t>Charges 2015 non couvertes (charges annuelles – ressources annuelles) 61'029.00</w:t>
      </w:r>
    </w:p>
    <w:p>
      <w:r>
        <w:t>Dépenses justifiées 2015 66'658.19 - Location dépôt VPI 12 mois x CHF 220.00 2'640.00 - Frais de scolarité fils F______ $10'288.00 x 0.97773 10'058.89 - Frais de scolarité fils F______ $11'158.50 x 0.97773 10'910.00 - Cotisation golf de G______ 3'000.00 - Pension alimentaire H______ CHF 1'500.00 x 12 mois 18'000.00 - Honoraires d’avocat (divorce) 1/3 de CHF 66'147.86 22'049.30</w:t>
      </w:r>
    </w:p>
    <w:p>
      <w:r>
        <w:t>Montant total devant être prélevé sur la fortune (charges non couvertes + dépenses justifiées) 127'687.19</w:t>
      </w:r>
    </w:p>
    <w:p>
      <w:r>
        <w:t>Fortune devant rester au 31.12.2015 (fortune au 31.12.2014 – montant total devant être prélevé : CHF 572'132.00 – 127'687.19) 451'444.81 Fortune restante au 31.12.2015 330'045.00 Dessaisissement pour 2015 (fortune devant rester au 31.12.2015 – fortune restante au 31.12.2015) 121'399.81</w:t>
      </w:r>
    </w:p>
    <w:p>
      <w:r>
        <w:t>A/1519/2024 - 15/24 - b) Calcul du dessaisissement pour l’année 2016 : Ressources annuelles 2016 3'725.00 - Rentes</w:t>
      </w:r>
    </w:p>
    <w:p>
      <w:r>
        <w:t>- Autres revenus 3'065.00 - Intérêts de l’épargne 660.00</w:t>
      </w:r>
    </w:p>
    <w:p>
      <w:r>
        <w:t>Charges annuelles 2016 63'346.00 - Loyer (charges comprises) 18'480.00 - Primes d’assurance-maladie 6'374.00 - Forfait pour la couverture des besoins de base 38'492.00</w:t>
      </w:r>
    </w:p>
    <w:p>
      <w:r>
        <w:t>Charges 2016 non couvertes (charges annuelles – ressources annuelles) 59'621.00</w:t>
      </w:r>
    </w:p>
    <w:p>
      <w:r>
        <w:t>Dépenses justifiées 56'763.05 - Location dépôt VPI 12 mois x CHF 220.00 2'640.00 - Frais de scolarité fils F______ $10'288.00 x 0.97773 11'073.75 - Cotisation golf de G______ 3'000.00 - Pension alimentaire H______ CHF 1'500.00 x 12 mois 18'000.00 - Honoraires d’avocat (divorce) 1/3 de CHF 66'147.86 22'049.30</w:t>
      </w:r>
    </w:p>
    <w:p>
      <w:r>
        <w:t>Montant total devant être prélevé sur la fortune (charges non couvertes + dépenses justifiées) 116'384.05</w:t>
      </w:r>
    </w:p>
    <w:p>
      <w:r>
        <w:t>Fortune devant rester au 31.12.2016 (fortune au 31.12.2015 – montant total devant être prélevé : CHF 330’045 – 116'384.05) 213'660.95 Fortune restante au 31.12.2016 155’487.00 Dessaisissement pour 2016 (fortune devant rester au 31.12.2016 – fortune restante au 31.12.2016) 58'173.95</w:t>
      </w:r>
    </w:p>
    <w:p>
      <w:r>
        <w:t>A/1519/2024 - 16/24 - c) Calcul du dessaisissement pour l’année 2017 : Ressources annuelles 2017 127'732.00 - Rentes 10'504.00 - Autres revenus 1'917.00 - Intérêts de l’épargne 311.00</w:t>
      </w:r>
    </w:p>
    <w:p>
      <w:r>
        <w:t>Charges annuelles 2017 63'821.00 - Loyer (charges comprises) 18'480.00 - Primes d’assurance-maladie 6'849.00 - Forfait pour la couverture des besoins de base 38'492.00</w:t>
      </w:r>
    </w:p>
    <w:p>
      <w:r>
        <w:t>Charges 2017 non couvertes (charges annuelles – ressources annuelles) 51'089.00</w:t>
      </w:r>
    </w:p>
    <w:p>
      <w:r>
        <w:t>Dépenses 2017 justifiées 45'689.30 - Location dépôt VPI 12 mois x CHF 220.00 2'640.00 - Cotisation golf de G______ 3'000.00 - Pension alimentaire H______ CHF 1'500.00 x 12 mois 18'000.00 - Honoraires d’avocat (divorce) 1/3 de CHF 66'147.86 22'049.30</w:t>
      </w:r>
    </w:p>
    <w:p>
      <w:r>
        <w:t>Montant total devant être prélevé sur la fortune (charges non couvertes + dépenses justifiées) 96'778.30</w:t>
      </w:r>
    </w:p>
    <w:p>
      <w:r>
        <w:t>Fortune devant rester au 31.12.2017 (fortune au 31.12.2016 – montant total devant être prélevé : CHF 155'487.00 – 96'778.30) 58'708.70 Fortune restante au 31.12.2017 24'543.00 Différence retenue à titre de dessaisissement pour 2017 (Fortune devant rester au 31.12.2017 – fortune restante au 31.12.2017) 34'165.70</w:t>
      </w:r>
    </w:p>
    <w:p>
      <w:r>
        <w:t>A/1519/2024 - 17/24 - Le recourant ne conteste pas, en soi, cette manière de procéder, mais il estime, tout d’abord que le forfait de CHF 38'492.- pour la couverture des besoins de base est beaucoup plus bas que ce qu’il a effectivement dépensé pour ses besoins courants. Dans ces circonstances, le SPC ne pouvait retenir le moindre montant à titre de dessaisissement (recours du 6 mai 2024 ch. 41 et 42 p. 22). Il considère, en outre, que des dépenses supplémentaires auraient dû être prises en compte par le SPC, à savoir les frais de voyage et d’hôtel, les frais de restaurant et de bijouterie, les primes d’assurance-ménage et RC de ses voitures, ainsi que les frais de transport de meubles. Il en irait de même du remboursement d’un prêt de CHF 5'000.- et du découvert de sa carte de crédit. 9.2.2 En premier lieu, la Cour de céans rappelle que le SPC ne peut écarter la prise en compte de justificatifs de dépenses produits par le recourant au motif que celles-ci seraient déjà incluses dans le forfait pour les besoins vitaux. En effet, conformément à la jurisprudence, le SPC ne peut pas limiter les dépenses effectives de l'assuré aux montants ressortant de ses taxations fiscales, soit les frais bancaires, la prime d'assurance-accidents, les frais maladie (la part fiscalement déductible ne correspondant pas à la totalité de ceux-ci), etc., ni tenir compte, pour les dépenses courantes, seulement des montants ressortant des barèmes applicables aux bénéficiaires de prestations complémentaires (ATAS/207/2023 du 21 mars 2023 consid. 11.2 ; ATAS/169/2013 du 12 février 2013 consid. 12 ; ATAS/959/2013 du 30 septembre 2013 consid. 11). 9.2.3 Cela étant précisé, il convient d’examiner si le recourant a justifié les dépenses supplémentaires qu’il invoque. Or, force est de constater que : - Le recourant n’a pas prouvé le paiement des primes d’assurance RC relatives à ses anciens véhicules et des primes d’assurance-ménage combinée, la production des polices d’assurance n’étant pas suffisante à cet égard et encore moins lorsqu’il est question « d’anciens véhicules ». - Le paiement de la cotisation pour le sociétariat du TCS, de CHF 97.-, est uniquement prouvé pour l’année 2017, aucune pièce ne permettant d’inférer un quelconque paiement pour les autres années. - Les frais de transport des meubles en 2015, d’un montant de CHF 20'114.50 ont déjà été pris en considération par le SPC pour 2014, une facture d’un montant de CHF 20'001.- ayant été produite par le recourant. - Le paiement de CHF 2'014.- à I______ Automobiles ne saurait être pris en considération en l’absence de précision. En effet, la contrepartie ne peut être déduite du relevé de carte de crédit.</w:t>
      </w:r>
    </w:p>
    <w:p>
      <w:r>
        <w:t>A/1519/2024 - 18/24 - En revanche, les dépenses suivantes ont été prouvées, de sorte qu’elles ne sauraient constituer un dessaisissement : Pour 2015 : - CHF 8'023.67 de frais de voyage soit : o CHF 274.87 auprès d’une agence de voyage ; o CHF 6'071.02 de billets d’avion ; o CHF 622.40 dans des hôtels ; o CHF 525.70 versés à une compagnie maritime ; o CHF 529.70 auprès d’une entreprise de transport. - CHF 6'250.- à la bijouterie J______; - CHF 1'933.- dans différents restaurants. Pour 2016 : - CHF 3'571.17 de billets d’avion ; - CHF 1'439.- dans des restaurants. Pour 2017 : - CHF 4'080.80 de billets d’avion ; - CHF 1'671.- dans divers restaurants ; - CHF 97.- à titre de cotisation pour le TCS. Quant au remboursement du prêt de CHF 5'000.-, il ne saurait être écarté au motif que l’attestation est sommaire. En effet, l’attestation en question est datée et signée. Elle précise le montant remboursé et les identités du prêteur et de l’emprunteur. Elle est donc suffisamment précise pour être prise en considération. Enfin, le découvert de carte de crédit constitue effectivement une dette à prendre en considération. Il s’agit en réalité du montant de la carte de crédit qui n’a pas été payé et qui est reporté de mois en mois. Le fait que le recourant ne doive pas s’en acquitter en une fois, mais qu’il puisse procéder par acompte, n’ôte pas la qualification de dette. Cependant, en l’absence de pièces plus précises, on ne saurait retenir un montant de CHF 13'575.31 en 2023, dès lors que la pièce 17 produite en annexe au recours est totalement illisible. Quant à la pièce produite par le recourant sous annexe 1, elle se réfère au montant de la dette en 2024. Or, c’est la fortune nette au 31 décembre 2023 qui doit être prise en considération pour 2024. Aussi, en l’absence d’une pièce plus lisible et précise, ce montant ne saurait être pris en considération. 9.2.4 Ainsi, la situation est la suivante pour les années 2015 à 2017 :</w:t>
      </w:r>
    </w:p>
    <w:p>
      <w:r>
        <w:t>A/1519/2024 - 19/24 - a) Calcul du dessaisissement pour l’année 2015 : Ressources annuelles 2015 2'317.00 Charges annuelles 2015 61'728.00 Charges 2015 non couvertes (charges annuelles – ressources annuelles) 59'411.00</w:t>
      </w:r>
    </w:p>
    <w:p>
      <w:r>
        <w:t>Dépenses justifiées selon décision sur opposition querellée 66’658.19 Dépenses supplémentaires justifiées 21'206.67 - Solde du prêt K______ 5'000.00 - Voyages 8'023.67 - J______ SA 6’250.00 - Restaurants 1'933.00 Total dépenses 2015 justifiées 87'864.86</w:t>
      </w:r>
    </w:p>
    <w:p>
      <w:r>
        <w:t>Montant total devant être prélevé sur la fortune (charges non couvertes + dépenses justifiées) 147'275.86</w:t>
      </w:r>
    </w:p>
    <w:p>
      <w:r>
        <w:t>Fortune devant rester au 31.12.2015 (fortune au 31.12.2014 – montant total devant être prélevé : CHF 572'132.00 – 147'275.86) 424'856.14 Fortune restante au 31.12.2015 330'045.00 Dessaisissement pour 2015 (Fortune devant rester au 31.12.2015 – fortune restante au 31.12.2015) 94'811.14</w:t>
      </w:r>
    </w:p>
    <w:p>
      <w:r>
        <w:t>A/1519/2024 - 20/24 - b) Calcul du dessaisissement pour l’année 2016 : Ressources annuelles 2016 3'725.00 Charges annuelles 2016 61'728.00 Charges 2016 non couvertes (charges annuelles – ressources annuelles) 58'003.00</w:t>
      </w:r>
    </w:p>
    <w:p>
      <w:r>
        <w:t>Dépenses 2016 justifiées selon décision sur opposition querellée 56'763.05 Dépenses 2016 supplémentaires justifiées 5'010.47 - Voyages 3'571.17 - Restaurants 1'439.00 Total dépenses 2016 justifiées 61'773.22</w:t>
      </w:r>
    </w:p>
    <w:p>
      <w:r>
        <w:t>Montant total devant être prélevé sur la fortune (charges non couvertes + dépenses justifiées) 119'776.22</w:t>
      </w:r>
    </w:p>
    <w:p>
      <w:r>
        <w:t>Fortune devant rester au 31.12.2016 (fortune au 31.12.2015 – montant total devant être prélevé : CHF 330'045.00 – 119'776.22) 210'268.78 Fortune restante au 31.12.2016 155’487.00 Dessaisissement pour 2016 (Fortune devant rester au 31.12.2016 – fortune restante au 31.12.2016) 54'781.78</w:t>
      </w:r>
    </w:p>
    <w:p>
      <w:r>
        <w:t>A/1519/2024 - 21/24 - c) Calcul du dessaisissement pour l’année 2017 : Ressources annuelles 2017 17'732.00 Charges annuelles 2017 61'728.00 Charges 2017 non couvertes (charges annuelles – ressources annuelles) 43'996.00</w:t>
      </w:r>
    </w:p>
    <w:p>
      <w:r>
        <w:t>Dépenses2017 justifiées selon décision sur opposition 45'689.30 Dépenses 2017 supplémentaires justifiées par le recourant 5'848.80 - Frais de voyage 4'080.80 - Restaurants 1'671.00 - TCS 97.00 Total dépenses 2017 justifiées 51'538.10</w:t>
      </w:r>
    </w:p>
    <w:p>
      <w:r>
        <w:t>Montant total devant être prélevé sur la fortune (charges non couvertes + dépenses justifiées) 95'534.10</w:t>
      </w:r>
    </w:p>
    <w:p>
      <w:r>
        <w:t>Fortune devant rester au 31.12.2017 (fortune au 31.12.2016 – montant total devant être prélevé : CHF 155'487.00 – 95'534.10) 59'952.90 Fortune restante au 31.12.2017 24'543.00 Dessaisissement pour 2017 (fortune devant rester au 31.12.2017 – fortune restante au 31.12.2017) 35'409.90 Au 31 décembre 2016, le dessaisissement de fortune total était de CHF 149'592.92 (CHF 94'811.14 + CHF 54'781.78). Au 1er janvier 2017, un amortissement de CHF 10'000.- est accordé, de sorte que les biens dessaisis s’élèvent à CHF 139'592.92 au 31 décembre 2017. Courant 2017, un nouveau dessaisissement de CHF 35'409.90 s’est ajouté, ce qui a porté la fortune dessaisie à CHF 175'002.82 au 31 décembre 2017. Dès le 1er janvier 2018, un abattement de CHF 10'000.- est venu en déduction, de sorte que les biens dessaisis étaient de CHF 165'002.82 au 31 décembre 2018, CHF 155'002.82 au 31 décembre 2019, CHF 145'002.82 au 31 décembre 2020, CHF 135'002.82 au 31 décembre 2021, CHF 125'002.82 au 31 décembre 2022 et CHF 115'002.82 au 31 décembre 2023. 9.3 En prenant en considération les biens dessaisis susmentionnés et les autres montants retenus par le SPC dans ses plans de calcul, la fortune nette se calcule comme suit dès 2019 :</w:t>
      </w:r>
    </w:p>
    <w:p>
      <w:r>
        <w:t>A/1519/2024 - 22/24 - 2019</w:t>
      </w:r>
    </w:p>
    <w:p>
      <w:r>
        <w:t>Épargne 4'909.50 Biens dessaisis 165'002.82 Dettes - 33'388.75 Fortune nette 136'523.57</w:t>
      </w:r>
    </w:p>
    <w:p>
      <w:r>
        <w:t>2020</w:t>
      </w:r>
    </w:p>
    <w:p>
      <w:r>
        <w:t>Épargne 4'158.10 Biens dessaisis 155'002.82 Dettes - 41'471.20 Fortune nette 117'689.72</w:t>
      </w:r>
    </w:p>
    <w:p>
      <w:r>
        <w:t>2021</w:t>
      </w:r>
    </w:p>
    <w:p>
      <w:r>
        <w:t>Épargne 2'403.75 Biens dessaisis 145'002.82 Dettes - 33'388.75 Fortune nette 114'017.82</w:t>
      </w:r>
    </w:p>
    <w:p>
      <w:r>
        <w:t>2022</w:t>
      </w:r>
    </w:p>
    <w:p>
      <w:r>
        <w:t>Épargne 2'844.15 Biens dessaisis 135'002.82 Dettes - 33'919.00 Fortune nette 103'927.97</w:t>
      </w:r>
    </w:p>
    <w:p>
      <w:r>
        <w:t>A/1519/2024 - 23/24 - 2023</w:t>
      </w:r>
    </w:p>
    <w:p>
      <w:r>
        <w:t>Épargne 2'844.15 Biens dessaisis 125'002.82 Dettes - 33'919.00 Fortune nette 94'868.22</w:t>
      </w:r>
    </w:p>
    <w:p>
      <w:r>
        <w:t>Il ressort du tableau comparatif qui précède que la fortune nette est inférieure à celle retenue par le SPC dans la décision sur opposition querellée. Dès 2023, elle est par ailleurs également inférieure à CHF 100'000.-. Dans ces circonstances, les calculs effectués par le SPC sont erronés et il lui appartient de les actualiser en prenant en considération les montants ci-dessus, avant de rendre une nouvelle décision sur le droit du recourant à des prestations complémentaires dès le 1er mars 2019. 10. Compte tenu de ce qui précède, le recours sera partiellement admis et la décision sur opposition querellée annulée, la cause étant renvoyée au SPC pour nouveau calcul des prestations complémentaires dues et nouvelle décision. Le recourant obtenant gain de cause sur le principe,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w:t>
      </w:r>
    </w:p>
    <w:p>
      <w:r>
        <w:t>A/1519/2024 - 24/24 - PAR CES MOTIFS, LA CHAMBRE DES ASSURANCES SOCIALES : Statuant À la forme :</w:t>
      </w:r>
    </w:p>
    <w:p>
      <w:r>
        <w:rPr>
          <w:b/>
        </w:rPr>
        <w:t>E. 15</w:t>
      </w:r>
    </w:p>
    <w:p>
      <w:r>
        <w:t>janvier 1971 (OPC-AVS/AI - RS 831.301), entré en vigueur le 1er janvier 2021 également, à teneur duquel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17c OPC-AVS/AI). Les directives concernant les prestations complémentaires à l'AVS et à l'AI, état au 1er janvier 2021 (ci-après : DPC) précisent également la notion de dessaisissement. Ainsi, lorsque la fortune diminue de façon substantielle sans que le bénéficiaire des prestations complémentaires puisse prouver l’utilisation qu’il en a faite, on suppose, en principe, qu’il y a dessaisissement (DPC ch. 3532.09). 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(DPC ch. 3532.11). Selon le ch. 3532.12 des DPC, le montant forfaitaire pour l’entretien usuel est déterminé en multipliant le montant destiné à la couverture des besoins vitaux pour les personnes seules pour l'année correspondante, soit CHF 19'610.- depuis le 1er janvier 2021 (art. 10 al. 1 let. a ch. 1 LPC) par le facteur applicable tel que défini à l’annexe 8, soit en l’occurrence 3,2, étant précisé que ce facteur se base sur les dépenses médianes d’un ménage suisse de la même correspondante (annexe 8, DPC). Les revenus comprennent toutes les prestations périodiques, y compris les revenus visés à l’art. 11 al. 3 LPC. Le montant de la part de fortune qui a dû être utilisée pour l’entretien usuel en cas de revenus insuffisants correspond à la différence entre le montant forfaitaire pour l’entretien usuel applicable, y compris les contributions d’entretien, et le revenu effectif (DPC ch. 3532.15). 6.3 L’art. 11a al. 3 complète l’al. 2 en précisant que, même en présence d’une contre-prestation adéquate, la consommation de la fortune ne doit pas dépasser un</w:t>
      </w:r>
    </w:p>
    <w:p>
      <w:r>
        <w:t>A/1519/2024 - 10/24 - certain plafond (10% de sa fortune par année et si la fortune est inférieure à CHF 100'000.-, la limite est de CHF 10'000.- par année). En d’autres termes, indépendamment des preuves d’achat fournies, le calcul de la prestation complémentaire tiendra compte d’un dessaisissement de fortune lorsque celle-ci aura été dépensée dans un court laps de temps sans que la personne se soit souciée de l’avenir. Les pertes de fortune involontaires qui ne sont pas imputables à une action intentionnelle ou une à imprudence du bénéficiaire des prestations complémentaires ne sont pas considérées comme une consommation de la fortune et ne tombent donc pas sous le coup de cette disposition. Les limites fixées permettent de déterminer si la fortune a été dépensée trop rapidement ou non. (Message du Conseil fédéral relatif à la modification de la loi sur les prestations complémentaires [Réforme des PC] du 16 septembre 2016, FF 2016 7249 p. 7323 ; cf. arrêt du Tribunal fédéral 9C_50/2022 du 17 mai 2022 consid. 3.1). Cette disposition ne s’applique toutefois que pour les dessaisissements de fortune qu’à compter du 1er janvier 2021 conformément aux dispositions transitoires, ce qui n’est pas le cas en l’espèce, les dessaisissements litigieux ayant eu lieu en 2015, 2016 et 2017. 7. Selon l'art. 17a OPC-AVS/AI, dans sa teneur en vigueur jusqu’au 31 décembre 2020, repris ensuite à l’art. 17e al. 1 OPC-AVS/AI, la part de fortune dessaisie à prendre en compte au sens de l’art. 11 al. 1 let. g aLPC, respectivement de l’art. 11a, al. 2 et 3 nLPC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On présume en effet que l'ayant droit, à supposer qu'il ne se soit pas dessaisi de sa fortune, en aurait mis une partie à contribution pour subvenir à ses besoins. L'amortissement prévu par l'art. 17a aOPC-AVS/AI n'est cependant admis que sous la forme d'un forfait indépendant du montant exact de la fortune dessaisie ou de celle dont dispose encore l'ayant droit (cf. ATF 118 V 150 consid. 3 ; arrêt du Tribunal fédéral 9C_36/2014 du 7 avril 2014 consid. 3.2 et la référence). Il faut en outre qu'une année civile entière au moins se soit écoulée entre le moment où l'assuré a renoncé à des parts de fortune et le premier amortissement de fortune (Ralph JÖHL, Die Ergänzungsleistung und ihre Berechnung, in Soziale Sicherheit, SBVR vol. XIV, p. 1816 n. 247). 8. Dans le domaine des assurances sociales, le juge fonde sa décision, sauf dispositions contraires de la loi, sur les faits qui, faute d'être établis de manière irréfutable, apparaissent comme les plus vraisemblables, c'est-à-dire qui</w:t>
      </w:r>
    </w:p>
    <w:p>
      <w:r>
        <w:t>A/1519/2024 - 11/24 -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108 V 229 consid. 2 ; arrêt du Tribunal fédéral P 59/02 du 28 août 2003 consid. 3.3 et les références). 9.</w:t>
      </w:r>
    </w:p>
    <w:p>
      <w:r>
        <w:t>9.1 En l’espèce, les pièces au dossier ont permis d’établir que le recourant est titulaire de plusieurs comptes bancaires, auprès d’B______, C______ (depuis lors repris par B______) et D______ (cf. pièces 21 et 29, SPC). Le 8 août 2014, il a vendu son bien immobilier – un appartement sis à E______ – pour un montant total de CHF 1'318'000.- (cf. attestation du notaire du 18 mai 2020, pièce 37, SPC). De ce prix de vente, l’Étude de notaires a déduit les montants suivants (ibidem) :</w:t>
      </w:r>
    </w:p>
    <w:p>
      <w:r>
        <w:t>A/1519/2024 - 12/24 - Impôt immobilier complémentaire 2011 1'496.00 Impôt immobilier complémentaire 2014 1'092.35 Frais de courtage 42'469.90 Charges PPE 9'716.88 Remboursement hypothèque 525'209.55 Honoraires de notaire et TVA 800.00 64.00 2'970.25 237.60 Impôt sur les bénéfices et gains 36'969.65 Total 621'026.18</w:t>
      </w:r>
    </w:p>
    <w:p>
      <w:r>
        <w:t>C’est donc un prix de vente net de CHF 696'973.82 (CHF 1'318'000.00 – CHF 621'026.18) qui est revenu au recourant et qui lui a été versé en quatre fois entre août et novembre 2014, à savoir CHF 89'822.50 le 19 août 2014, CHF 20'677,50 le 20 août 2014, CHF 19'500.- le 4 septembre 2014 et CHF 566'973,82 le 10 novembre 2014. En novembre 2014, le compte précité affichait un solde de CHF 585'428.04 (relevés bancaires du compte personnel B______ concernant les mois d’août à décembre 2014 – pièce 34, SPC et attestation du notaire du 18 mai 2020 – pièce 37, SPC). Le 1er décembre 2014, le recourant a viré, sur son compte au Liban, un montant de CHF 480'000.- (cf. relevé bancaire concernant le mois de décembre 2014, pièce 85, SPC). Par ailleurs, les comptes du recourant affichaient les soldes suivants au 31 décembre de chaque année entre 2014 et 2018 inclus (cf. relevés bancaires pour 2014 à 2018 – notamment pièces 1, 19, 21, 32, 34, 85 et 99, SPC) :</w:t>
      </w:r>
    </w:p>
    <w:p>
      <w:r>
        <w:t>A/1519/2024 - 13/24 -</w:t>
      </w:r>
    </w:p>
    <w:p>
      <w:r>
        <w:t>31.12.2014 31.12.2015 31.12.2016 31.12.2017 31.12.2018 Compte personnel B______ 31'766.59 531.05 97.70 590.70 2'147.43 Compte d’épargne B______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