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ATAS/405/2018 vom 14. Mai 2018</w:t>
      </w:r>
    </w:p>
    <w:p>
      <w:r>
        <w:t>GE Cour de justice, 2018-05-14, FR</w:t>
      </w:r>
    </w:p>
    <w:p>
      <w:r>
        <w:rPr>
          <w:b/>
        </w:rPr>
        <w:t xml:space="preserve">Quelle: </w:t>
      </w:r>
      <w:r>
        <w:t>https://mcp.opencaselaw.ch/entscheid/ge_gerichte_ATAS_405_2018</w:t>
      </w:r>
    </w:p>
    <w:p>
      <w:r>
        <w:t>FR: GE_GERICHTE ATAS/405/2018 du 14 mai 2018</w:t>
      </w:r>
    </w:p>
    <w:p>
      <w:r>
        <w:t>IT: GE_GERICHTE ATAS/405/2018 del 14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w:t>
      </w:r>
    </w:p>
    <w:p>
      <w:r>
        <w:t>A/15/2016 - 17/32 -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Selon les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7</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rPr>
          <w:b/>
        </w:rPr>
        <w:t>E. 8</w:t>
      </w:r>
    </w:p>
    <w:p>
      <w:r>
        <w:t>Dans l’arrêt précité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w:t>
      </w:r>
    </w:p>
    <w:p>
      <w:r>
        <w:t>A/15/2016 - 18/32 -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w:t>
      </w:r>
    </w:p>
    <w:p>
      <w:r>
        <w:t>A/15/2016 - 19/32 - 1)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le Tribunal fédéral a examiné dans quelle mesure des troubles psychiques en tant que comorbidités d'un TSD, doivent être pris en considération pour examiner le caractère invalidant du TSD. Il a précisé que même si ces troubles psychiques, pris séparément, ne sont pas invalidants en application de la nouvelle jurisprudence publiée aux ATF 141 V 281, ils sont relevants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A/15/2016 - 20/32 -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9</w:t>
      </w:r>
    </w:p>
    <w:p>
      <w:r>
        <w:t>Au vu de ce qui précède, toutes les affections psychiques doivent en principe faire l'objet d'une procédure probatoire structurée au sens de l'ATF 141 V 281 (ATF 143 V 418 consid. 6 et 7 p. 426 ss et les références). Les expertises mises en oeuvre selon les anciens standards de procédure ne perdent cependant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p. 309; 137 V 210 consid. 6 p. 266 ; Arrêt du Tribunal fédéral 9C_797/2017 du 22 mars 2018).</w:t>
      </w:r>
    </w:p>
    <w:p>
      <w:r>
        <w:rPr>
          <w:b/>
        </w:rPr>
        <w:t>E. 10</w:t>
      </w:r>
    </w:p>
    <w:p>
      <w:r>
        <w:t>A teneur de la jurisprudence constante du Tribunal fédéral, une dépendance comme l’alcoolisme, la pharmacodépendance ou la toxicomanie ne constitue pas en soi une</w:t>
      </w:r>
    </w:p>
    <w:p>
      <w:r>
        <w:t>A/15/2016 - 21/32 -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w:t>
      </w:r>
    </w:p>
    <w:p>
      <w:r>
        <w:t>A/15/2016 - 22/32 -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A/15/2016 - 23/32 -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w:t>
      </w:r>
    </w:p>
    <w:p>
      <w:r>
        <w:t>A/15/2016 - 24/32 -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A/15/2016 - 25/32 -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a. En l’occurrence, par ordonnance du 7 juillet 2017, la chambre de céans a jugé qu’une expertise psychiatrique, comprenant un examen neuropsychologique du recourant, était nécessaire au vu des avis médicaux divergents figurants au dossier, étant précisé que le recourant n’a pas contesté le volet rhumatologique du rapport d’expertise du SMR du 6 juillet 2015, de sorte que cet aspect n’est pas litigieux. b. Fondé sur trois entretiens avec le recourant, un entretien avec la Dre H_____ et la sœur du recourant, tenant compte de l’entier du dossier, comportant une anamnèse complète, une description du status, un résumé des plaintes du recourant, prenant en compte les conclusions de l’examen neuropsychologique mené par Mme L_____, mentionnant des diagnostics clairs et bien motivés ainsi que les limitations fonctionnelles du recourant, le rapport d’expertise de la Dre K_____, ainsi que son complément, répond aux réquisits jurisprudentiels précités pour qu’il lui soit conféré une pleine valeur probante. Selon les conclusions de cette expertise, le recourant présente un trouble du spectre autistique de niveau 1, lequel entraine des limitations fonctionnelles totalement incapacitantes qui sont multiples, touchant le plan cognitif, des interactions sociales et de la communication. Le recourant a des difficultés à comprendre les tâches à exercer, sans possibilité d’improviser ou de s’adapter à l’imprévu ; il a de la peine à accueillir une critique qu’il vit comme malveillante et présente des réactions agressives ou de fuite, sans arriver par exemple à négocier une demande ; il</w:t>
      </w:r>
    </w:p>
    <w:p>
      <w:r>
        <w:t>A/15/2016 - 26/32 - présente une difficulté de perception de son état émotionnel propre et celui des autres, n’arrive pas à interagir avec les autres et manque fortement d’empathie (expertise K_____ p. 27). Mme L_____ a aussi relevé des limitations au niveau du comportement socio-émotionnel engendrant des problématiques interrelationnelles sur le plan social, professionnel et probablement familial, limitations qui semblent être au premier plan, sans amélioration malgré le traitement entrepris depuis un an et demi (expertise L_____ p. 8). Il y avait une incapacité de travail totale présente depuis le début de l’âge adulte (complément d’expertise K_____). c. Les critiques émises par le SMR et l’OAI ne sont pas à même de remettre en cause la valeur probante de l’expertise judiciaire. c.a. Le SMR estime qu’il existe une contradiction entre le constat du maintien d’activités régulières du recourant sous prise de cannabis et le constat d’une incapacité de travail totale de celui-ci. Or, tel n’est pas le cas. D’une part, l’experte a relevé que les difficultés du recourant sont antérieures à la consommation de cannabis et ont persisté au cours de la période d’abstinence du recourant, laquelle a duré une dizaine d’années ; les difficultés sont d’ordre cognitif ou relationnel ; d’autre part, l’experte a indiqué que le recourant maintient des activités régulières malgré une consommation importante de cannabis, ce qui ne signifie pas que le recourant arrive à maintenir une activité régulière équivalent à une capacité de travail (expertise K_____ p. 25 et 28). Par ailleurs, le Dr C______ a également constaté (avis du 28 mai 2015) que la dépendance au cannabis, bien que chronique et importante, ne semble pas à première vue péjorer les capacités cognitives ou d’initiative du recourant. Le SMR a d’ailleurs lui-même relevé que la consommation de cannabis, bien qu’importante, ne limite pas le recourant dans ses activités quotidiennes et ne présente pas de caractère incapacitant (expertise SMR du 6 juillet 2015). c.b. Le SMR estime qu’une incapacité de travail ne peut être retenue dès lors que le recourant a pu travailler jusqu’en 2006, qu’en 2012, la levée de la curatelle a été prononcée et que le fonctionnement du recourant s’est notablement amélioré selon l’avis de la sœur de celui-ci, le recourant ayant retrouvé un certain équilibre depuis quelques années entre ses activités bénévoles et le temps passé dans son appartement. L’OAI ajoute que l’incapacité de travail totale retenue par l’experte est en contradiction totale avec les éléments du dossier, le recourant ayant toujours travaillé, même s’il a changé d’employeurs plusieurs fois et que l’état de santé du recourant s’est amélioré sous l’effet de la prise en charge psychiatrique (levée de la curatelle), ce dont l’experte ne tient absolument pas compte. L’experte a expliqué que, tout au long de son parcours professionnel, le recourant n’a travaillé de façon stable que durant quatre ans, chez N_____, dans un environnement favorable, puis a été licencié ; il a occupé des missions courtes et non renouvelées ou interrompue précairement, entrecoupées par des longues périodes de chômage ; au vu de ce parcours, l’experte estime qu’on ne peut retenir</w:t>
      </w:r>
    </w:p>
    <w:p>
      <w:r>
        <w:t>A/15/2016 - 27/32 - une capacité de travail totale du recourant ; par ailleurs, le Dr C______, dans son rapport du 6 août 2014, estime également que le recourant, qui a été incapable de suivre une formation après l’école primaire, présente des problèmes de comportement. Le recourant est définitivement et de longue date en incapacité de travail totale avec une unique possibilité d’une intégration occupationnelle dans un milieu protégé ; la causalité de cette incapacité de travail a une base psycho- organique déficitaire, comme en témoigne tout le cursus de formation et de travail du recourant ; le 14 juin 2006, le Dr C______ mentionne déjà à l’adresse du Tribunal tutélaire que le recourant est une personne incapable de gérer lui-même ses biens et souffrant de troubles psychiques chroniques et d’un trouble modéré du développement intellectuel. Le cas d’espère diffère ainsi de celui jugé par la chambre de céans (ATAS/242/2018 du 19 mars 2018), dans lequel l’avis du SMR - qui estimait que le recourant, qui avait travaillé pour différents employeurs depuis janvier 2005 jusqu’en 2015, présentait en réalité une incapacité de travail totale depuis janvier 2005 - n’a pas été suivi. En effet, dans ce cas, le traitement dont avait bénéficié le recourant lui avait permis de stabiliser son trouble psychique et d’exercer plusieurs activités à satisfaction de ses employeurs, à tout le moins jusqu’en 2012 ; par ailleurs, le médecin-traitant du recourant n’avait attesté d’une incapacité de travail partielle de ce dernier que depuis mai 2016. Quoi qu’il en soit, en l’espèce, la chambre de céans constate que le recourant n’a effectivement plus travaillé depuis l’année 2007, soit plusieurs années avant le dépôt de sa demande de prestations du 11 novembre 2013. S’agissant de l’amélioration de l’état de santé alléguée par le SMR au vu de la levée de la curatelle en 2012 et du témoignage de la sœur du recourant, l’experte constate que les limitations fonctionnelles, présentes depuis le très jeune âge, sont persistantes et ne s’améliorent pas malgré le traitement ; le recourant a pu mieux gérer l’administratif, ce qui a permis la levée de la mesure de protection et un fonctionnement quasi autonome ; toutefois l’experte relève que cette amélioration est liée à la mise en place, par le recourant, de stratégies de compensation et d’apprentissage, tel qu’un comportement d’évitement généralisé, de conduite de gestion de l’administratif ritualisées, de demandes d’aide à l’entourage ; l’assuré reste cependant naïf et vulnérable ; il arrive à organiser les démarches de la vie courante, mais se montre facilement envahi lorsqu’il est confronté à des activités inhabituelles, stressantes ou nécessitant une certaine capacité organisationnelle. Les efforts nécessaires pour maintenir un fonctionnement social acceptable, représentent pour lui une importante source de stress. La symptomatologie anxieuse s’est discrètement améliorée depuis l’introduction d’un traitement antidépresseur, mais les soignants ne constatent pas d’évolution en ce qui concerne la rigidité du fonctionnement (ritualisé, restreint) ou au niveau des capacités de reconnaissance, de verbalisation des émotions ou des interactions sociales ; ainsi le traitement</w:t>
      </w:r>
    </w:p>
    <w:p>
      <w:r>
        <w:t>A/15/2016 - 28/32 - apporte un soutien au recourant, sans apporter cependant de changement notable au niveau du fonctionnement (expertise K_____ p. 27). S’agissant de l’équilibre qu’aurait retrouvé le recourant entre ses activités bénévoles et le temps passé dans son appartement, l’experte souligne le fait que le recourant n’a actuellement aucune relation proche, mène une vie solitaire avec des activités restreintes et ritualisées, un périmètre d’action réduit en raison des craintes phobiques et paranoïaques ; le recourant considère lui-même que ce fonctionnement de retrait et d’isolement lui permet de se protéger et de maintenir un équilibre ; la pauvreté du réseau social du recourant est plutôt un élément réconfortant et l’amélioration de la situation semble être liée à la mise en place par le recourant d’un comportement d’évitement généralisé, de fonctionnement ritualisé et de demande d’aide à l’entourage (expertise K_____ p. 22-23). Par ailleurs, le Dr C______ a également constaté que le recourant s’est réfugié dans la solitude ou le retrait social (avis du Dr C______ du 6 août 2014) et qu’il présente une marginalisation importante (avis du Dr C______ du 28 mai 2015) et Mme L_____ a souligné que le recourant vit de manière isolée, sans pratiquer aucune activité, hormis sortir ses chiens (expertise L_____ p. 6). Au vu de ces constatations, on ne saurait suivre le SMR lorsqu’il estime que la situation du recourant se serait améliorée dans une mesure telle que le recourant aurait recouvré une capacité de travail ; la sœur du recourant a d’ailleurs ajouté que le recourant est rapidement envahi lorsqu’il se retrouve face à une petite difficulté (expertise K_____ p. 18) ; cette amélioration est ainsi reliée à un comportement d’isolement et de conduite de gestion ritualisées, ne plaidant pas en faveur de la présence de ressources nécessaires à l’exercice d’une activité professionnelle. Ainsi, l’amélioration constatée s’inscrit dans le cadre d’un fonctionnement ritualisé du recourant, avec un important stress dû aux efforts nécessaires pour maintenir un fonctionnement social acceptable, et cela même en dehors de toute activité professionnelle. En conséquence, l’amélioration constatée n’est pas considérée par l’experte, et cela de façon convaincante, comme suffisante pour qu’il soit reconnu au recourant une capacité de travail. c.c. Le SMR se contente d’affirmer que les troubles neuropsychologiques devraient permettre, sans problème, une activité simple et répétitive, sans contester sérieusement la conclusion de Mme L_____, reprise par l’experte, selon laquelle, d’un point de vue strictement cognitif, la capacité de travail du recourant est limitée à un emploi routinier, sans rendement, sans planification et sans prise de décision, avec une probable baisse de rendement en raison de troubles attentionnels et exécutifs ; s’ajoutent à cela des limitations dues à des troubles du comportement qui sont au premier plan, sans amélioration malgré le traitement entrepris (expertise L_____ p. 8). c.d. Le SMR conteste aussi l’interprétation faite par Mme L_____ des résultats du test MMS pratiqué lors de l’expertise psychiatrique du SMR ; cette question peut</w:t>
      </w:r>
    </w:p>
    <w:p>
      <w:r>
        <w:t>A/15/2016 - 29/32 - rester ouverte dès lors que Mme L_____ a expliqué que le test est un outil de dépistage pour les démences et qu’il est inapproprié pour évaluer les difficultés cognitives du recourant, ce qui n’est pas contesté par l’intimé ; en outre, le SMR ne se prononce pas sur le fait que les résultats auxquels aboutit Mme L_____, soit des performances pauvres, voire déficitaires sur le plan cognitif, sont cohérents avec ceux ressortant du test de février 2017 (expertise L_____ p. 7). Par ailleurs, l’expertise du SMR (status psychiatrique) a mentionné que l’examen n’objective aucun trouble de l’attention, de la concentration ou de la mémoire, ce qui est en contradiction avec les constatations de Mme L_____ (laquelle relève que le recourant n’a pas beaucoup de souvenirs de son enfance et qu’il y a des trous dans son parcours - expertise L_____ p. 4) et celle de la Dre K_____ (laquelle mentionne que le recourant a une mémoire qui semble très déficitaire, avec une incapacité à relater un évènement de manière précise - expertise K_____ p. 16-17). c.e. L’OAI estime que l’experte a fait une appréciation rétrospective subjective reposant uniquement sur des hypothèses étayées par aucun élément objectif extérieur aux impressions subjectives du recourant ; il cite, dans ce sens, un arrêt du Tribunal fédéral du 9 février 2017 (9C_286/2016). Dans celui-ci, le Tribunal fédéral a constaté que l’expertise judiciaire ne permettait pas de saisir les raisons pour lesquelles le trouble somatoforme douloureux du recourant aurait présenté un caractère invalidant, ce d’autant que l’expert avait inscrit, au centre de la discussion, la perception subjective que l’assuré se faisait de de sa situation de vie éprouvante. En l’occurrence, un tel reproche ne saurait être formulé à l’encontre de l’expertise judiciaire ; l’experte a en effet exposé que, depuis le début de sa scolarité, le recourant a présenté des difficultés comportementales et cognitives l’empêchant de suivre une scolarité normale et ayant motivé un placement en institution pour enfants présentant des difficultés mentales et comportementales, sans avoir jamais intégré une formation ; il a également été réformé de l’armée en raison de trouble du comportement ; il a présenté un parcours professionnel chaotique et son dernier emploi remonte à 2007 ; il n’a pas été capable de s’occuper de sa fille, a dû être aidé par sa mère dans la gestion de ses affaires administratives et a été au bénéfice d’une mesure de protection en 2007 ; sa sœur témoigne aussi de difficultés relationnelle et comportementale importantes depuis son jeune âge. Ces faits ne sont pas contestés par l’intimé ; celui-ci admet également le diagnostic posé par l’experte de troubles du spectre autistique évoluant depuis le plus jeune âge et de manière stable ; or, celui-ci est fondé sur des éléments objectifs, soit la persistance, tout au long du parcours de vie du recourant, de manifestations en faveur de problèmes de sociabilisation, de communication ainsi que des comportements restreints et répétitifs, avec un retentissement social et professionnel important (expertise K_____ p. 25) ; l’experte a également souligné qu’il est fort possible que le recourant, en s’initiant au cannabis (fait documenté), ait trouvé dans cette substance un effet calmant ou lui permettant de se distancer de son mal-être,</w:t>
      </w:r>
    </w:p>
    <w:p>
      <w:r>
        <w:t>A/15/2016 - 30/32 - étant relevé que les difficultés socio-cognitives évoluant depuis l’enfance sont source de souffrance, notamment sur le plan anxieux (expertise K_____ p. 28) et que cette dépendance est donc très probablement secondaire au trouble autistique (expertise K_____ p. 29) ; enfin, contrairement au cas précité, l’experte ne s’est pas fondée sur les affirmations du recourant pour conclure à un diagnostic incapacitant. c.f. Selon l’OAI, l’experte a indiqué qu’elle n’a pas eu accès au dossier médical établi par le médecin-traitant, de sorte qu’il est flagrant que nombres d’éléments objectifs indispensables font défaut à l’établissement du rapport d’expertise, en particulier au niveau de l’anamnèse. A cet égard, la chambre de céans constate que le rapport d’expertise du SMR du 6 juillet 2015, jugé probant par l’intimé, ne contient pas non plus le dossier du recourant établi par le médecin-traitant. Par ailleurs, l’experte a tenté, dans un souci louable de tenir compte de tous les avis médicaux existants, de prendre connaissance du dossier du Dr C______ ; ce dossier n’étant pas accessible, on ne saurait, comme le fait l’intimé, affirmer que des éléments objectifs indispensables font défaut. c.g. L’OAI relève que, sous l’angle des nouveaux indicateurs, il y a lieu de tenir compte du fait que le recourant a une vie sociale quasiment normale. En particulier, des relations interpersonnelles existent avec ses voisins, tout comme des activités extérieures régulières, l’assuré étant capable de gérer la partie administrative de sa vie, en utilisant internet pour ses paiements etc… Il y a ainsi une très grande discordance, selon l’OAI, entre la capacité de travail du recourant, qui serait prétendument nulle et sa capacité à gérer sa vie personnelle privée qui est, elle, entière. A cet égard, il a déjà été relevé que, selon l’expertise, le recourant présente un isolement social sans aucune relation proche, ainsi qu’un comportement d’évitement généralisé, qu’il mène une vie solitaire, avec des activités restreintes et ritualisées et que son périmètre d’action est réduit en raison de craintes phobique et paranoïaques ; la description par l’experte de la vie sociale du recourant ne correspond pas à une vie sociale « quasiment normale » telle qu’invoquée par l’intimé. En outre, le traitement que le recourant suit, n’a pas permis d’apporter un changement notable au niveau de son fonctionnement ; le contexte du recourant, isolé, figé dans un quotidien ritualisé et dans un comportement d’évitement généralisé, ne lui apporte pas des ressources mobilisables, et permet d’affirmer qu’il existe une limitation uniforme du niveau d’activités dans tous les domaines comparables de la vie ; enfin l’experte n’a relevé aucune discordance entre les plaintes et renseignements fournis par le recourant et ses propres observations et élément du dossier, hormis le fait que le recourant est anosognosique de ses difficultés relationnelles, comportementales et de son interprétativité (expertise K_____ p. 17).</w:t>
      </w:r>
    </w:p>
    <w:p>
      <w:r>
        <w:t>A/15/2016 - 31/32 -</w:t>
      </w:r>
    </w:p>
    <w:p>
      <w:r>
        <w:rPr>
          <w:b/>
        </w:rPr>
        <w:t>E. 16</w:t>
      </w:r>
    </w:p>
    <w:p>
      <w:r>
        <w:t>Au vu de ce qui précède, l’expertise judiciaire suffit pour effectuer une appréciation concluante du cas, à l’aune des indicateurs jurisprudentiel précités. Le diagnostic posé est clair et entraine des limitations fonctionnelles du recourant relevant de l’atteinte et non pas de facteurs non assurés. La conclusion de l’expertise judiciaire peut, en application des indicateurs précités, être confirmée, ce d’autant que le rapport d’expertise (volet psychiatrique) du SMR n’apparait pas probant ; comme relevé par l’expertise judiciaire, il ne comprend aucune analyse de toutes les difficultés présentées par le recourant, rejette la présence de traits phobiques au motif que le recourant aurait une certaine vie sociale, alors qu’il s’agit seulement de relations limitées à des personnes familières, sans potentiel jugeant ; par ailleurs, le test MMS ayant servi à écarter les troubles cognitifs n’est pas approprié et l’expert psychiatre n’a pas approfondi cette question. En conséquence, il convient de reconnaitre au recourant une incapacité de travail totale et durable depuis qu’il est jeune adulte, de sorte que son degré d’invalidité est de 100 %, lequel lui donne droit à une rente entière d’invalidité. La demande de prestations ayant été déposée le 11 novembre 2013, le droit aux prestations est ouvert depuis le 1er mai 2014.</w:t>
      </w:r>
    </w:p>
    <w:p>
      <w:r>
        <w:rPr>
          <w:b/>
        </w:rPr>
        <w:t>E. 17</w:t>
      </w:r>
    </w:p>
    <w:p>
      <w:r>
        <w:t>Partant, le recours sera admis et la décision litigieuse annulée. Il sera dit que le recourant a droit à une rente entière d’invalidité depuis le 1er mai 2014.</w:t>
      </w:r>
    </w:p>
    <w:p>
      <w:r>
        <w:rPr>
          <w:b/>
        </w:rPr>
        <w:t>E. 18</w:t>
      </w:r>
    </w:p>
    <w:p>
      <w:r>
        <w:t>Vu l’issue du litige, une indemnité de CHF 4’000.-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Les frais d’expertise seront laissés à la charge de l’Etat de Genève.</w:t>
      </w:r>
    </w:p>
    <w:p>
      <w:r>
        <w:t>A/15/2016 - 32/32 -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