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ATAS/405/2015 vom 8. Juni 2015</w:t>
      </w:r>
    </w:p>
    <w:p>
      <w:r>
        <w:t>GE Cour de justice, 2015-06-08, FR</w:t>
      </w:r>
    </w:p>
    <w:p>
      <w:r>
        <w:rPr>
          <w:b/>
        </w:rPr>
        <w:t xml:space="preserve">Quelle: </w:t>
      </w:r>
      <w:r>
        <w:t>https://mcp.opencaselaw.ch/entscheid/ge_gerichte_ATAS_405_2015</w:t>
      </w:r>
    </w:p>
    <w:p>
      <w:r>
        <w:t>FR: GE_GERICHTE ATAS/405/2015 du 8 juin 2015</w:t>
      </w:r>
    </w:p>
    <w:p>
      <w:r>
        <w:t>IT: GE_GERICHTE ATAS/405/2015 del 8 giugno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Selon l’art. 38 al. 4 let. b LPGA, applicable via par renvoi de l’art. 60 al. 2 LPGA, les délais en jours ou en mois fixés par la loi ou par l’autorité ne courent pas du 15 juillet au 15 août inclusivement. Suite à la notification de la décision querellée le 3 juillet 2014, le délai de recours a commencé à courir le lendemain (art. 38 al. 1 LPGA). Suspendu du 15 juillet au 15 août 2014, il est arrivé à échéance le 3 septembre 2014. Posté le 2 septembre 2014, le recours a été interjeté en temps utile. Respectant également les formes prescrites par la loi, il est recevable (art. 56 à 61 LPGA).</w:t>
      </w:r>
    </w:p>
    <w:p>
      <w:r>
        <w:rPr>
          <w:b/>
        </w:rPr>
        <w:t>E. 4</w:t>
      </w:r>
    </w:p>
    <w:p>
      <w:r>
        <w:t>Est litigieuse en l’espèce la question de savoir si la recourante peut prétendre à des prestations de l’assurance-accidents au-delà du 16 mars 2014. Singulièrement, il s’agit de déterminer si les troubles présentés après cette date sont en lien de causalité avec l’événement assuré du 23 février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A/2592/2014 - 7/13 -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w:t>
      </w:r>
    </w:p>
    <w:p>
      <w:r>
        <w:t>A/2592/2014 - 8/13 -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w:t>
      </w:r>
    </w:p>
    <w:p>
      <w:r>
        <w:t>A/2592/2014 - 9/13 -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b/bb) Une expertise médicale établie sur la base d'un dossier peut avoir valeur probante pour autant que celui-ci contienne suffisamment d'appréciations médicales qui, elles, se fondent sur un examen personnel de l'assuré (RAMA 2001 n° U 438 p. 346 consid. 3d). Il en va de même si les rapports sur lesquels ladite expertise se fonde, permettent de retracer de manière exhaustive l’anamnèse, l’évolution du cas et le status actuel et que ces points – conclusions exceptées – sont incontestés. L’expert doit être en mesure de se faire une représentation globale non lacunaire sur la base des pièces disponibles (RAMA n° U 56 p. 366 consid. 5b ; ATF 127 I 54 consid. 2e et les références). Ainsi, la nécessité d’un examen personnel de l’assuré par l’expert n’est reléguée au second plan que lorsqu’il s’agit, pour l’essentiel, de porter un jugement sur des éléments d’ordre médical déjà établis et que des investigations médicales nouvelles s’avèrent superflues. Dans ces circonstances, une expertise médicale établie uniquement sur la base d’un dossier peut effectivement se voir reconnaître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w:t>
      </w:r>
    </w:p>
    <w:p>
      <w:r>
        <w:t>A/2592/2014 - 10/13 -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w:t>
      </w:r>
    </w:p>
    <w:p>
      <w:r>
        <w:rPr>
          <w:b/>
        </w:rPr>
        <w:t>E. 12</w:t>
      </w:r>
    </w:p>
    <w:p>
      <w:r>
        <w:t>mars 2014 et que partant, son champ d’examen est encore plus restreint que celui du Dr F______, la chambre de céans ne saurait s’appuyer sur ce rapport, ce à plus forte raison que le Prof. H______ se plaint de la « piètre qualité » de l’IRM qui lui a été soumise et qu’il ne se prononce pas sur la problématique du statu quo sine.</w:t>
      </w:r>
    </w:p>
    <w:p>
      <w:r>
        <w:t>S’agissant enfin des rapports établis par la Dresse C______, ils ne remplissent pas non plus les conditions pour se voir reconnaître une quelconque valeur probante. Outre leur caractère succinct, ils ne sont pas étayés et ne contiennent aucune conclusion motivée.</w:t>
      </w:r>
    </w:p>
    <w:p>
      <w:r>
        <w:t>Dans ces circonstances, la chambre de céans n’est pas en mesure de se prononcer sur l’existence d’un lien de causalité entre l’accident du 23 février 2014 et les atteintes au genou gauche de la recourante, en particulier sur la date d’un éventuel statu quo sine. Force est de constater que l’intimée a établi les faits de manière sommaire et incomplète, sur la base des rapports peu, voire pas motivés des Drs F______ et H______, qui s’avèrent dépourvus de valeur probante. En pareil cas, il n’appartient pas à la chambre de céans de suppléer aux carences de l’instruction de l’intimée. En conséquence, le dossier lui sera renvoyé pour instruction complémentaire sur le lien de causalité entre l’accident du 23 février 2014 et les atteintes du genou gauche de la recourante, en particulier sur la date d’un éventuel statu quo sine. Cette instruction sera mise en œuvre par une expertise en médecine orthopédique confiée à un expert indépendant, selon la procédure prévue à l’art. 44 LPGA.</w:t>
      </w:r>
    </w:p>
    <w:p>
      <w:r>
        <w:rPr>
          <w:b/>
        </w:rPr>
        <w:t>E. 13</w:t>
      </w:r>
    </w:p>
    <w:p>
      <w:r>
        <w:t>Compte tenu de ce qui précède, le recours sera partiellement admis, en ce sens que la décision du 27 juin 2014 sera annulée et le dossier renvoyé à l’intimée pour instruction complémentaire et nouvelle décision, dans le sens des considérants.</w:t>
      </w:r>
    </w:p>
    <w:p>
      <w:r>
        <w:t>Bien qu’elle obtienne gain de cause, la recourante, qui n’est pas représentée, n’a pas droit à des dépens. En effet,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arrêt du Tribunal fédéral des assurances K 10/99 du 11 décembre 2001, consid. 6).</w:t>
      </w:r>
    </w:p>
    <w:p>
      <w:r>
        <w:t>En l’occurrence, ces conditions ne sont pas remplies car l’affaire n’est pas complexe et l’objet litigieux n’est pas élevé. De plus, le temps qu’elle est susceptible d’avoir consacré à la défense de ses intérêts ne dépasse pas la mesure de ce qui peut être considéré comme raisonnable.</w:t>
      </w:r>
    </w:p>
    <w:p>
      <w:r>
        <w:t>Pour le surplus, la procédure est gratuite (art. 61 let. a LPGA).</w:t>
      </w:r>
    </w:p>
    <w:p>
      <w:r>
        <w:t>A/2592/2014 - 13/13 -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