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ATAS/404/2025 vom 30. Mai 2025</w:t>
      </w:r>
    </w:p>
    <w:p>
      <w:r>
        <w:t>GE Cour de justice, 2025-05-30, FR</w:t>
      </w:r>
    </w:p>
    <w:p>
      <w:r>
        <w:rPr>
          <w:b/>
        </w:rPr>
        <w:t xml:space="preserve">Quelle: </w:t>
      </w:r>
      <w:r>
        <w:t>https://mcp.opencaselaw.ch/entscheid/ge_gerichte_ATAS_404_2025</w:t>
      </w:r>
    </w:p>
    <w:p>
      <w:r>
        <w:t>FR: GE_GERICHTE ATAS/404/2025 du 30 mai 2025</w:t>
      </w:r>
    </w:p>
    <w:p>
      <w:r>
        <w:t>IT: GE_GERICHTE ATAS/404/2025 del 30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droit de la recourante aux prestations de l’assurance- invalidité.</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l’éventuel droit à une rente d’invalidité naîtrait au plus tôt en mai 2023, soit six mois après le dépôt de la demande du 25 novembre 2022 (cf. art. 29 al. 1 LAI), de sorte que les dispositions légales applicables seront citées dans leur nouvelle teneur.</w:t>
      </w:r>
    </w:p>
    <w:p>
      <w:r>
        <w:t>A/1050/2024 - 6/11 -</w:t>
      </w:r>
    </w:p>
    <w:p>
      <w:r>
        <w:rPr>
          <w:b/>
        </w:rPr>
        <w:t>E. 4.1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4.3</w:t>
      </w:r>
    </w:p>
    <w:p>
      <w:r>
        <w:t>À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w:t>
      </w:r>
    </w:p>
    <w:p>
      <w:r>
        <w:t>A/1050/2024 - 7/11 -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4.5</w:t>
      </w:r>
    </w:p>
    <w:p>
      <w:r>
        <w:t>Selon l’art. 28a al. 3 LAI, dans sa teneur en vigueur depuis le 1er janvier 2022, lorsque l’assuré exerce une activité lucrative à temps partiel, le taux d’invalidité pour cette activité est évalué selon l’art. 16 LPGA. S’il accomplit ses travaux habituels, le taux d’invalidité pour cette activité est fixé selon l’al. 2. Dans ce cas, les parts respectives de l’activité lucrative et de l’accomplissement des travaux habituels sont déterminées ; le taux d’invalidité est calculé dans les deux domaines d’activité. 5.</w:t>
      </w:r>
    </w:p>
    <w:p>
      <w:r>
        <w:t>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5.2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w:t>
      </w:r>
    </w:p>
    <w:p>
      <w:r>
        <w:t>A/1050/2024 - 8/11 - quantitativement, de toutes les ressources et limitations physiques, mentales et psychiques (art. 49 al. 1bis RAI). 5.3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5.4 Sans remettre en cause le principe de la libre appréciation des preuves, le Tribunal fédéral des assurances a posé des lignes directrices en ce qui concerne la manière d'apprécier certains types d'expertises ou de rapports médicaux. 5.4.1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5.4.2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w:t>
      </w:r>
    </w:p>
    <w:p>
      <w:r>
        <w:t>A/1050/2024 - 9/11 -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6.</w:t>
      </w:r>
    </w:p>
    <w:p>
      <w:r>
        <w:t>6.1 En l’espèce, la recourante demande à bénéficier des prestations de l’assurance-invalidité. Elle invoque avoir des douleurs lombaires, mais également une HTA et un traitement de substitution pour la thyroïde, dont elle fait valoir qu’ils lui interdisent de reprendre son activité habituelle de femme de ménage. L’intimé, pour sa part, se fondant sur l’avis du SMR, considère que si l’assurée est effectivement incapable d’exercer son activité habituelle, son état de santé lui permet en revanche d’exercer à plein temps une activité adaptée, c'est-à-dire épargnant le rachis. Ce à quoi la recourante réplique qu’elle ne dispose d’aucune expérience autre que dans le nettoyage. 6.2 En premier lieu, la Cour constate que c’est à juste titre que l’intimé a reconnu à la recourante le statut de personne active à 12% seulement. En effet, l’examen des CI AVS démontre qu’après plusieurs années sans activité lucrative, l’assurée n’a pas exercé à un taux supérieur à celui qui était le sien avant son arrêt de travail. 6.3 Quant aux atteintes à la santé invoquées par la recourante, ainsi que le retient le SMR, seules les douleurs lombaires – au demeurant non documentées – sont susceptibles d’influencer la capacité de travail. En effet, contrairement à ce qu’allègue le médecin traitant, il ressort du rapport établi par la spécialiste que l’HTA et la thyroïde sont bien équilibrées sous traitement et que ces atteintes n’entraînent aucune limitation de la capacité de travail.</w:t>
      </w:r>
    </w:p>
    <w:p>
      <w:r>
        <w:t>A/1050/2024 - 10/11 - Dans ces conditions, la seule limitation retenue est la nécessité d’épargner le rachis. La Dre D______ évoque également une « fatigue générale », mais ne se prononce pas sur la capacité de sa patiente à exercer une activité adaptée. Cela étant, il paraît difficile d’admettre au degré de vraisemblance prépondérante qu’une fatigue, même prononcée, puisse interdire à la recourante d’exercer une tâche facile et répétitive à raison d’un taux d’occupation de 12%, lequel correspond à environ cinq heures par semaine. On peut donc se ranger à l’avis du SMR selon lequel il n’existe aucun empêchement pour la recourante d’exercer une activité adaptée préservant le rachis lombaire à son taux d’occupation habituel. On notera à cet égard que le médecin traitant ne motive aucunement sa conclusion d’incapacité totale de travail dans toute activité, si ce n’est par un manque de formation et d’expérience professionnelle, éléments qui ne jouent aucun rôle lorsque le revenu d’invalide est déterminé en référence au salaire statistique auquel peuvent prétendre les femmes effectuant des activités simples et répétitives, comme c’est le cas en l’occurrence. Ce niveau de compétence concerne en effet une catégorie d’emplois ne nécessitant ni formation, ni expérience professionnelle spécifique (8C_659/2021 du 17 février 2022 consid. 4.3.2). Eu égard à ce qui précède, c’est à juste titre que l’intimé a considéré que l’assurée avait conservé la capacité à exercer à plein temps une activité adaptée à son état de santé. Le calcul du degré d’invalidité n’est pas contesté et n’apparaît pas critiquable. On ajoutera, à l’instar de l’intimé, qu’au vu du large éventail d’activités non qualifiées recouvertes par les secteurs de la production et des services, un nombre significatif est adapté aux limitations fonctionnelles liées à l’état de santé de l’assurée, sans qu’une intervention de l’office soit nécessaire. Les conditions d’un reclassement professionnel ne sont pas remplies, dès lors qu’il n’y a aucune invalidité. Enfin, l’assurée ne rencontre pas non plus de limites spécifiques à son atteinte à la santé qui compromettraient la recherche d’un emploi ; une aide au placement n’entre donc pas en ligne de compte. Au vu de ce qui précède, le recours est rejeté et la recourante condamnée au paiement d'un émolument de CHF 200.- (art. 69 al.1bis LAI).</w:t>
      </w:r>
    </w:p>
    <w:p>
      <w:r>
        <w:t>***</w:t>
      </w:r>
    </w:p>
    <w:p>
      <w:r>
        <w:t>A/1050/2024 - 11/11 -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