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ATAS/404/2024 vom 3. Juni 2024</w:t>
      </w:r>
    </w:p>
    <w:p>
      <w:r>
        <w:t>GE Cour de justice, 2024-06-03, FR</w:t>
      </w:r>
    </w:p>
    <w:p>
      <w:r>
        <w:rPr>
          <w:b/>
        </w:rPr>
        <w:t xml:space="preserve">Quelle: </w:t>
      </w:r>
      <w:r>
        <w:t>https://mcp.opencaselaw.ch/entscheid/ge_gerichte_ATAS_404_2024</w:t>
      </w:r>
    </w:p>
    <w:p>
      <w:r>
        <w:t>FR: GE_GERICHTE ATAS/404/2024 du 3 juin 2024</w:t>
      </w:r>
    </w:p>
    <w:p>
      <w:r>
        <w:t>IT: GE_GERICHTE ATAS/404/2024 del 3 giugno 2024</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A/1950/2023 - 7/19 -</w:t>
      </w:r>
    </w:p>
    <w:p>
      <w:r>
        <w:rPr>
          <w:b/>
        </w:rPr>
        <w:t>E. 1.2</w:t>
      </w:r>
    </w:p>
    <w:p>
      <w:r>
        <w:t>À teneur de l'art. 1 al. 1 LAA, les dispositions de la LPGA s'appliquent à l'assurance-accidents,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La modification du 25 septembre 2015 de la LAA est entrée en vigueur le 1er janvier 2017.</w:t>
      </w:r>
    </w:p>
    <w:p>
      <w:r>
        <w:rPr>
          <w:b/>
        </w:rPr>
        <w:t>E. 1.5</w:t>
      </w:r>
    </w:p>
    <w:p>
      <w:r>
        <w:t>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rPr>
          <w:b/>
        </w:rPr>
        <w:t>E. 1.6</w:t>
      </w:r>
    </w:p>
    <w:p>
      <w:r>
        <w:t>Le délai de recours est de trente jours (art. 56 LPGA ; art. 62 al. 1 de la loi sur la procédure administrative du 12 septembre 1985 [LPA - E 5 10]). Interjeté en temps utile, le recours est recevable (art. 60 LPGA).</w:t>
      </w:r>
    </w:p>
    <w:p>
      <w:r>
        <w:rPr>
          <w:b/>
        </w:rPr>
        <w:t>E. 2</w:t>
      </w:r>
    </w:p>
    <w:p>
      <w:r>
        <w:t>Le litige porte sur le bien-fondé du refus de l’intimée de prendre en charge les suites de l’événement du 11 mars 2022.</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ATF 129 V 402 consid. 2.1 et les références ; arrêt du Tribunal fédéral 8C_159/2023 du 9 novembre 2023 consid. 3.1).</w:t>
      </w:r>
    </w:p>
    <w:p>
      <w:r>
        <w:rPr>
          <w:b/>
        </w:rPr>
        <w:t>E. 3.2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w:t>
      </w:r>
    </w:p>
    <w:p>
      <w:r>
        <w:t>A/1950/2023 - 8/19 - consid. 1 ;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3.3</w:t>
      </w:r>
    </w:p>
    <w:p>
      <w:r>
        <w:t>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À titre d’exemples, le Tribunal fédéral a jugé que si le geste de desserrer un écrou bloqué peut, en raison de la résistance présentée, entraîner une sollicitation générant une tension musculaire élevée, un mouvement de serrage n’excède en principe pas ce qui est physiologiquement normal et psychologiquement contrôlé dans les gestes de la vie courante (arrêt du Tribunal fédéral 8C_399/2014 du 22 mai 2015). Il a également nié le facteur extraordinaire chez un assuré qui avait monté un petit escalier normal en tenant quelque chose à la main (arrêt du Tribunal fédéral 8C_24/2022 du 20 septembre 2022, in SVR 2023 UV n° 13 p. 40).</w:t>
      </w:r>
    </w:p>
    <w:p>
      <w:r>
        <w:rPr>
          <w:b/>
        </w:rPr>
        <w:t>E. 4.1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w:t>
      </w:r>
    </w:p>
    <w:p>
      <w:r>
        <w:t>A/1950/2023 - 9/19 - élongations de muscles (let. e);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4.2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w:t>
      </w:r>
    </w:p>
    <w:p>
      <w:r>
        <w:t>A/1950/2023 - 10/19 -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4.4</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w:t>
      </w:r>
    </w:p>
    <w:p>
      <w:r>
        <w:t>A/1950/2023 - 11/19 - qu'il n'était pas encore conscient des conséquences juridiques qu'elle aurait, les nouvelles explications pouvant être, consciemment ou non, le produit de réflexions ultérieures (ATF 143 V 168 consid. 5.2.2 et les références ; arrêt du Tribunal fédéral 8C_662/2016 consid. 4.3).</w:t>
      </w:r>
    </w:p>
    <w:p>
      <w:r>
        <w:rPr>
          <w:b/>
        </w:rPr>
        <w:t>E. 5</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w:t>
      </w:r>
    </w:p>
    <w:p>
      <w:r>
        <w:t>A/1950/2023 - 12/19 -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6.4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w:t>
      </w:r>
    </w:p>
    <w:p>
      <w:r>
        <w:t>A/1950/2023 - 13/19 -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6.5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6.6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A/1950/2023 - 14/19 -</w:t>
      </w:r>
    </w:p>
    <w:p>
      <w:r>
        <w:rPr>
          <w:b/>
        </w:rPr>
        <w:t>E. 6.7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7.1</w:t>
      </w:r>
    </w:p>
    <w:p>
      <w:r>
        <w:t>En l’occurrence, le recourant a décrit l’événement du 11 mars 2022 dans la déclaration d’accident comme suit : « je marchais et j’allais entrer dans le C1 lorsque mon genou s’est tordu sur un mauvais appui ». Il a aussi indiqué qu’il avait fait un faux pas (formulaire du 25 mars 2022). Le recourant a précisé, lors de l’audience de comparution personnelle du 22 janvier 2024, qu’il avait glissé sur le tapis plastifié de l’entrée du terminal. Numa KOPP, maitre de cabine, a également attesté qu’il avait vu, le 11 mars 2022, le recourant glisser sur un tapis à l’entrée du C1. Au vu de la jurisprudence précitée, c’est avec raison que l’intimée a exclu la survenance d’un accident, le fait de ressentir une torsion du genou à la marche ne pouvant être qualifié de facteur extérieur extraordinaire, un mouvement non- coordonné n’étant, en particulier, pas présent. À cet égard, le fait que le recourant et son collègue aient mentionné une glissade ne saurait, au vu des premières déclarations probantes du recourant, qui ne l’a pas mentionnée, être retenu. Finalement, aucun trébuchement ou glissade ne s’étant produit, ni aucun mouvement non programmé ou non maitrisé, le caractère accidentel de l’événement du 11 mars 2022 ne peut être admis.</w:t>
      </w:r>
    </w:p>
    <w:p>
      <w:r>
        <w:rPr>
          <w:b/>
        </w:rPr>
        <w:t>E. 7.2</w:t>
      </w:r>
    </w:p>
    <w:p>
      <w:r>
        <w:t>En revanche, en tant que le recourant a présenté une déchirure du ménisque, il s’agit d’une lésion assimilée à un accident (art. 6 al. 2 let. c LAA), à charge de l’intimée, à moins que celle-ci apporte la preuve que la lésion est due principalement à l’usure ou à la maladie.</w:t>
      </w:r>
    </w:p>
    <w:p>
      <w:r>
        <w:rPr>
          <w:b/>
        </w:rPr>
        <w:t>E. 7.2.1</w:t>
      </w:r>
    </w:p>
    <w:p>
      <w:r>
        <w:t>L’intimée se rallie aux conclusions du Dr I______, lequel, dans son dernier avis du 11 mars 2024, estime que la lésion du 11 mars 2022 est une suite de l’accident de 2017 et de l’intervention chirurgicale qui s’en est suivie, laquelle a entrainé une instabilité du genou (déstabilisation de la suture méniscale), elle- même responsable de la lésion du 11 mars 2022.</w:t>
      </w:r>
    </w:p>
    <w:p>
      <w:r>
        <w:t>A/1950/2023 - 15/19 - Les explications du Dr I______ excluent ainsi toute cause maladive ou liée à l’usure de la lésion du 11 mars 2022. Ce constat rejoint aussi l’avis des médecins traitants du recourant (département de chirurgie des HUG des 20 avril, 24 juin et 16 novembre 2022). Ainsi, tous les médecins s’accordent pour dire que la lésion en cause a une origine traumatique. Dans ces conditions, la lésion assimilée est en principe à charge de l’intimée. Celle-ci fait cependant valoir que cette lésion est une rechute ou séquelle tardive de l’accident de 2017, qu’elle n’a pas couvert, ce qui exclurait sa responsabilité. À cet égard, l’art. 100 al. 3 OLAA prévoit qu’en cas de rechute ou de séquelles tardives du fait d’une pluralité d’accidents assurés, l’assureur tenu de verser les prestations pour le dernier accident prend en charge les soins médicaux et le remboursement des frais selon les art. 10 à 13 LAA, ainsi que les indemnités journalières. En l’occurrence, l’intimée, qui a versé des prestations pour le dernier accident de 2019, doit en principe prendre en charge la rechute ou séquelle tardive litigieuse, à la condition toutefois que l’accident d’avril 2017 soit qualifié d’accident assuré au sens de l’art. 100 al. 3 OLAA (à cet égard ATAS/576/2023 du 27 juillet 2023). Cela dit, cette question peut quoi qu’il en soit rester ouverte, la rechute ou séquelle tardive étant en lien, comme il sera exposé ci-après, avec l’accident de septembre 2019 et non pas celui d’avril 2017.</w:t>
      </w:r>
    </w:p>
    <w:p>
      <w:r>
        <w:rPr>
          <w:b/>
        </w:rPr>
        <w:t>E. 7.2.2</w:t>
      </w:r>
    </w:p>
    <w:p>
      <w:r>
        <w:t>Le Dr I______ estime que l’instabilité du genou était présente en 2018, selon le rapport des médecins des HUG du 20 avril 2022 (avis du Dr I______ du</w:t>
      </w:r>
    </w:p>
    <w:p>
      <w:r>
        <w:rPr>
          <w:b/>
        </w:rPr>
        <w:t>E. 7.2.3</w:t>
      </w:r>
    </w:p>
    <w:p>
      <w:r>
        <w:t>En conclusion, aucun élément au dossier ne permet d’établir une instabilité du genou droit antérieurement à l’accident de septembre 2019, pris en charge par l’intimée. Au demeurant, la lésion survenue le 11 mars 2022 est, au degré de la vraisemblance prépondérante, une suite (rechute ou séquelle tardive) de l’accident de septembre 2019, comme l’ont souligné les médecins traitants du recourant, et non pas de celui d’avril 2017. Dans la mesure où l’accident de septembre 2019 a été pris en charge par l’intimée, celle-ci ne contestant pas le bien-fondé de cette prise en charge, la rechute ou séquelle tardive du 11 mars 2022 est également à sa charge. 8. Partant, le recours sera admis, la décision litigieuse annulée et il sera dit que l’intimée doit prendre en charge les suites de l’événement du 11 mars 2022.</w:t>
      </w:r>
    </w:p>
    <w:p>
      <w:r>
        <w:t>A/1950/2023 - 18/19 -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la procédure est gratuite (art. 61 let. fbis LPGA a contrario).</w:t>
      </w:r>
    </w:p>
    <w:p>
      <w:r>
        <w:t>A/1950/2023 - 19/19 - PAR CES MOTIFS, LA CHAMBRE DES ASSURANCES SOCIALES : Statuant À la forme :</w:t>
      </w:r>
    </w:p>
    <w:p>
      <w:r>
        <w:rPr>
          <w:b/>
        </w:rPr>
        <w:t>E. 11</w:t>
      </w:r>
    </w:p>
    <w:p>
      <w:r>
        <w:t>mars 2024). Or, ce constat résulte d’une interprétation du Dr I______ qui n’est fondée sur aucun élément du dossier. En particulier, dans leur avis du 20 avril 2022, les Drs F______ et G______ ont indiqué que l’intervention chirurgicale pratiquée en 2017 avait permis au recourant de reprendre le football en 2018, stoppé secondairement en raison d’une sensation d’instabilité, actuellement toujours présente lors des activités de boxing et à la descente des escaliers. Aucun rapport médical des médecins des HUG n’indique que le recourant a présenté, en 2018, une instabilité de son genou droit. Le rapport subséquent du 24 juin 2022 du Dr F______ se borne à relever une insuffisance de la plastie du LCA et récidive d’anse de seau du ménisque interne. Quant à celui du 16 novembre 2022 des Drs F______ et K______, médecin interne, il précise que les suites postopératoires de l’intervention de 2017 avaient montré une excellente évolution avec une reprise du football, de la boxe et du fitness, sans douleurs ni instabilité. C’était postérieurement et en raison du traumatisme de 2019, avec torsion du genou droit lors d’une partie de football, que des douleurs associées à une instabilité étaient apparues. La lésion de 2022 découlait vraisemblablement de l’accident de 2019. On peine à comprendre comment l’intimée, à la suite du Dr I______, estime que le Dr F______ s’est contredit dans ses rapports. En effet, le Dr F______ n’a fait</w:t>
      </w:r>
    </w:p>
    <w:p>
      <w:r>
        <w:t>A/1950/2023 - 16/19 - que préciser, le 16 novembre 2022, la date de survenance des douleurs et de l’instabilité du genou droit, soit dès l’accident de septembre 2019, étant relevé que celle-ci est en cohérence avec les faits indiqués dans son premier rapport du 20 avril 2022, puisqu’il y mentionnait que le recourant avait repris le football en 2018 et avait ensuite dû le stopper en raison d’une sensation d’instabilité. L’avis du Dr F______ est en outre conforté par l’indication figurant dans le rapport d’IRM du 21 mars 2022, soit qu’il s’agit d’une récidive d’un traumatisme de 2019, avec épisodes d’instabilité depuis. Cette mention a d’ailleurs été reprise par le Dr I______ dans son appréciation du 23 août 2022 sans toutefois qu’il ne la discute, étant encore relevé que le rapport d’IRM, qui mentionne la présence d’instabilité seulement dès 2019, a été rendu avant que la question de la date de la survenance de l’instabilité ne soit litigieuse et doit donc être considéré comme un élément pertinent probant. De plus, et comme relevé par le recourant, c’est lors d’un match de football que l’accident de septembre 2019 s’est produit, ce qui n’est contesté ni par le Dr I______, ni par l’intimée. Ceux-ci n’expliquent dès lors pas comment ils retiennent simultanément que le recourant aurait stoppé la pratique du football en 2018 (avis du Dr I______ du 11 mars 2024) et qu’il aurait été victime d’un accident lors d’un match de football en septembre 2019. Ainsi, il est établi que le recourant n’a pas cessé la pratique du football en 2018 puisqu’il a encore participé à un match de football en septembre 2019. Cette participation, qui n’est, à nouveau, pas contestée par l’intimée, permet de conclure que celui-ci pratiquait à ce moment-là effectivement une activité de footballeur et permet d’écarter les suppositions du Dr I______, qui semble contester que le recourant, malgré la production de sa fiche de joueur et ses déclarations cohérentes concernant son implication au L______, aurait réellement pratiqué ce sport entre septembre 2018 et septembre 2019. À cet égard, le recourant a expliqué de façon convaincante, lors de l’audience de comparution personnelle du 24 janvier 2024, qu’il avait repris une activité de footballeur en septembre 2018, attestée par la fiche de joueur qu’il a produite, avec une inscription au L______, à raison de deux entrainements par semaine et d’un match le week-end, et qu’il l’avait cessée en mars 2019, au moment où il avait débuté une activité de steward. Il avait alors continué de pratiquer le football une à deux fois par mois, avec des amis, et c’était lors d’un tournoi de football organisé par son ancien employeur, en septembre 2019, qu’il avait subi une torsion du genou droit pendant ledit match. Depuis, il avait dû arrêter tous les sports de pivot, dont le football, et avait présenté des douleurs et des instabilités au genou droit. Au demeurant, il convient d’admettre, au degré de la vraisemblance prépondérante, que le recourant a, suite à l’intervention chirurgicale de 2017, été à même de reprendre la pratique sportive, en particulier le football, dès septembre</w:t>
      </w:r>
    </w:p>
    <w:p>
      <w:r>
        <w:t>A/1950/2023 - 17/19 - 2018 et qu’il a dû cesser complètement cette pratique suite à l’accident de septembre 2019. Le Dr I______ émet encore l’hypothèse, sur la base du dossier, que l’intervention chirurgicale de 2017 aurait connu une suite défavorable, entrainant une instabilité, preuve de son mauvais résultat et qu’elle n’aurait pas permis d’obtenir une récupération car le recourant avait dû stopper le football en 2018 en raison de cette instabilité. Cette hypothèse n’est cependant fondée sur aucun élément objectif. Tout d’abord, et comme il a été exposé ci-avant, le recourant n’a pas cessé la pratique du football en 2018 mais postérieurement au match de football de septembre 2019. Ensuite, les Drs F______ et K______ ont attesté, le 16 novembre 2022, que les suites opératoires de l’intervention de 2017 avaient montré une excellente évolution, avec la reprise des activités sportives, dont le football, ce qui va à l’encontre de l’avis du Dr I______ quant au prétendu mauvais résultat de cette intervention. À cet égard, le compte rendu opératoire de cette intervention ne mentionne d’ailleurs aucune complication et prévoit un contrôle radio-clinique à quatre semaines. Enfin, le recourant a indiqué qu’il avait vu son chirurgien trois mois après l’intervention chirurgicale de 2017 et qu’il n’avait plus jamais consulté de médecin pour un problème au genou droit jusqu’à l’accident de septembre 2019, ce qui n’est pas contesté par l’intimée et le Dr I______. L’intimée ne prétend en particulier pas que le recourant aurait consulté pour des douleurs ou une instabilité du genou droit antérieurement à septembre 2019. Dans ces conditions, l’hypothèse du Dr I______ selon laquelle la cessation de la pratique du football en 2018 permet de conclure à la présence d’une instabilité du genou droit dès 2018, preuve du mauvais résultat de l’intervention chirurgicale de 2017, est erronée et ne tient en particulier pas compte du rapport d’IRM du 21 mars 2022, lequel atteste d’instabilité dès 2019 et non pas antérieurement, du fait que le recourant jouait encore un match de football en septembre 2019 et de l’absence d’élément attestant d’un mauvais résultat de l’intervention chirurgicale de 2017 et d’une instabilité survenue avant l’accident de septembre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