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ATAS/404/2021 vom 29. April 2021</w:t>
      </w:r>
    </w:p>
    <w:p>
      <w:r>
        <w:t>GE Cour de justice, 2021-04-29, FR</w:t>
      </w:r>
    </w:p>
    <w:p>
      <w:r>
        <w:rPr>
          <w:b/>
        </w:rPr>
        <w:t xml:space="preserve">Quelle: </w:t>
      </w:r>
      <w:r>
        <w:t>https://mcp.opencaselaw.ch/entscheid/ge_gerichte_ATAS_404_2021</w:t>
      </w:r>
    </w:p>
    <w:p>
      <w:r>
        <w:t>FR: GE_GERICHTE ATAS/404/2021 du 29 avril 2021</w:t>
      </w:r>
    </w:p>
    <w:p>
      <w:r>
        <w:t>IT: GE_GERICHTE ATAS/404/2021 del 29 aprile 2021</w:t>
      </w:r>
    </w:p>
    <w:p>
      <w:pPr>
        <w:pStyle w:val="Heading2"/>
      </w:pPr>
      <w:r>
        <w:t>Erwägungen</w:t>
      </w:r>
    </w:p>
    <w:p>
      <w:r>
        <w:rPr>
          <w:b/>
        </w:rPr>
        <w:t>E. 1</w:t>
      </w:r>
    </w:p>
    <w:p>
      <w:r>
        <w:t>a. A teneur de l’art. 58 al. 1 de la loi fédérale sur la partie générale du droit des assurances sociales du 6 octobre 2000 (LPGA - RS 830.1), le tribunal des assurances compétent est celui du canton de domicile de l’assuré ou d’une autre partie au moment du dépôt du recours. Par ailleurs,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b. Au jour du dépôt du recours, le 10 avril 2019, la recourante était domiciliée à Genève. Elle a déplacé son domicile en France en date du 10 décembre 2019, soit postérieurement au dépôt de son recours. Par conséquent, la compétence ratione loci et materiae de la Cour de céans pour juger du cas d’espèce est établie.</w:t>
      </w:r>
    </w:p>
    <w:p>
      <w:r>
        <w:rPr>
          <w:b/>
        </w:rPr>
        <w:t>E. 2</w:t>
      </w:r>
    </w:p>
    <w:p>
      <w:r>
        <w:t>À teneur de l'art. 1 al. 1 LAI, les dispositions de la LPGA s'appliquent à l'assurance-invalidité, à moins que la loi n'y déroge expressément. Le 1er janvier 2021 est entrée en vigueur la modification du 21 juin 2019 de la LPGA. Toutefois, dans la mesure où le recours était alors déjà pendant devant la Chambre de céans, il reste soumis à l'ancien droit (cf. art. 83 LPGA).</w:t>
      </w:r>
    </w:p>
    <w:p>
      <w:r>
        <w:rPr>
          <w:b/>
        </w:rPr>
        <w:t>E. 3</w:t>
      </w:r>
    </w:p>
    <w:p>
      <w:r>
        <w:t>Le délai de recours est de trente jours (art. 60 al. 1 LPGA). Interjeté dans la forme et le délai prévus par la loi, le recours est recevable, en vertu des art. 56ss LPGA.</w:t>
      </w:r>
    </w:p>
    <w:p>
      <w:r>
        <w:rPr>
          <w:b/>
        </w:rPr>
        <w:t>E. 4</w:t>
      </w:r>
    </w:p>
    <w:p>
      <w:r>
        <w:t>Le litige porte sur le droit de la recourante à une rente entière, plus particulièrement sur l’existence entre 2006 - date à laquelle a été rendue la seule décision reposant sur un examen matériel de la situation - et 2019 d’une aggravation de son état de santé susceptible d’influencer son droit aux prestations.</w:t>
      </w:r>
    </w:p>
    <w:p>
      <w:r>
        <w:rPr>
          <w:b/>
        </w:rPr>
        <w:t>E. 5</w:t>
      </w:r>
    </w:p>
    <w:p>
      <w:r>
        <w:t>a. Selon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b. À teneur de l'art. 87 du règlement sur l’assurance-invalidité du 17 janvier 1961 (RAI - RS 831.201), lorsqu'une demande de révision est déposée, celle-ci doit</w:t>
      </w:r>
    </w:p>
    <w:p>
      <w:r>
        <w:t>A/1478/2019 - 12/20 - établir de façon plausible que l'invalidité, l'impotence ou l'étendue du besoin de soins ou du besoin d'aide découlant de l'invalidité de l'assuré s'est modifiée de manière à influencer ses droits (al. 2). Lorsqu’un assuré est déjà au bénéfice d’une rente, sa demande doit être qualifiée de demande de révision et non de nouvelle demande (arrêt du Tribunal fédéral des assurances I 142/06 du 25 octobre 2006 consid. 3.1). Cela étant, la distinction opérée est avant tout théorique dès lors que l’alinéa 3 de l’art. 87 RAI renvoie aux conditions de l’alinéa 2 de cette même disposition et que la jurisprudence applique par analogie les principes développés en matière de nouvelle demande à l’entrée en matière sur la demande de révision (Damien VALLAT, La nouvelle demande de prestations AI et les autres voies permettant la modification de décisions en force, RSAS 2003, p. 392 ch. 2.2 et les références citées). Dans un cas comme dans l’autre, les conditions d’entrée en matière prévues par l’art. 87 al. 2 et 3 RAI (qui reprend pour l’essentiel l’art. 87 al. 3 et 4 RAI en vigueur jusqu’au 31 décembre 2011) ont pour but de restreindre la possibilité de présenter de manière répétée des demandes de rente identiques (ATF 133 V 108 consid. 2b).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c.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w:t>
      </w:r>
    </w:p>
    <w:p>
      <w:r>
        <w:t>A/1478/2019 - 13/20 -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w:t>
      </w:r>
    </w:p>
    <w:p>
      <w:r>
        <w:t>A/1478/2019 - 14/20 - Ulrich MEYER-BLASER, Bundesgesetz über die Invalidenversicherung, 1997, p. 8).</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b/aa.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Dans ce contexte, il y a lieu de relever que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 à</w:t>
      </w:r>
    </w:p>
    <w:p>
      <w:r>
        <w:t>A/1478/2019 - 15/20 - défaut, la valeur probante d'un tel document est moindre (cf. arrêt du Tribunal fédéral 9C_826/2009 du 20 juillet 2010 consid. 4.2 portant sur les rapports des services médicaux régionaux au sens de l'art. 49 al. 2 RAI). b/cc. Selon l'art. 43 al. 1 phr. 1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il peut être fait appel aux spécialistes de l'aide publique ou privée aux invalides.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b/dd.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8C_408/2014 et 8C_429/2014 du 23 mars 2015 consid. 4.2). b/ee.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t>A/1478/2019 - 16/20 -</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Un renvoi à l’administration reste également possible, notamment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w:t>
      </w:r>
    </w:p>
    <w:p>
      <w:r>
        <w:t>En l’espèce, la recourante bénéficie d’une rente depuis le 22 avril 2004 (un quart de rente depuis le 1er juin 2005) en raison de son atteinte lombaire. Les procédures de révision initiées par l’intimé en 2008 et 2012 n’ont pas conduit à une modification de ce droit. Le 1er mars 2018, la recourante a invoqué une aggravation de son état de santé, sur laquelle l’intimé est entré en matière, mais qu’il a en définitive niée en se fondant sur le rapport d’expertise de la Dresse F______. Il convient de se prononcer, en premier lieu, sur la valeur probante dudit rapport. Force est de constater qu’il remplit, sur le plan formel, les exigences auxquelles la jurisprudence soumet la valeur probante de tels documents. En effet, il contient le résumé du dossier, les indications subjectives de la recourante, des observations cliniques, ainsi qu'une discussion générale du cas. Il en ressort notamment que la</w:t>
      </w:r>
    </w:p>
    <w:p>
      <w:r>
        <w:t>A/1478/2019 - 17/20 - recourante se plaint de douleurs quotidiennes, évaluées entre 5 et 10 sur une échelle de douleur de 10, au poignet gauche, aux deux genoux, à la cheville gauche, à la nuque, aux omoplates et dans la région lombaire. Elle se plaint également de fatigue, le sommeil n’étant pas réparateur. S’y ajoutent des céphalées et un moral fluctuant, avec du désespoir, des crises d’angoisse, de la colère contre sa maladie et contre les personnes qui ne l’ont pas aidée. La Dresse F______ n’a trouvé aucune explication objective aux symptômes de fatigue, douleurs chroniques et céphalées présentées par la recourante. Elle a donc considéré que la capacité de travail de cette dernière était toujours de 60%. Toutefois, la Dresse F______ a conseillé une consultation neurologique pour les céphalées quotidiennes, une polysomnographie pour les troubles du sommeil persistants et une expertise psychiatrique compte tenu des plaintes thymiques et des symptômes somatiques inexpliqués. En d’autres termes, la Dresse F______, qui est spécialisée en médecine interne générale, n’a pas identifié d’atteinte organique expliquant les symptômes présentés par la recourante. Elle n’a toutefois pas exclu que des mesures d’instruction complémentaire, sous la forme d’un complément d’expertise neurologique et psychiatrique, soient susceptibles d’objectiver lesdites atteintes, ou du moins de les expliquer. Malgré ces recommandations, l’office intimé n’a entrepris aucune mesure probatoire dans ce sens, occultant tout simplement la recommandation d’une consultation neurologique et justifiant l’absence de complément sur le plan psychiatrique en invoquant le défaut de diagnostic posé dans cette spécialité par le médecin traitant et le fait que la recourante disposerait de ressources suffisantes. Vu la spécialisation de la Dresse F______ et les recommandations qu’elle a exprimées, on ne saurait renoncer à une instruction complémentaire sans violer la maxime inquisitoire. La mise en œuvre d’examens d’ordre neurologique apparaît d’autant plus justifiée que plusieurs médecins ont évoqué un syndrome de fatigue chronique (reconnu par l’OMS et figurant dans la CIM-10 sous le code diagnostic G93.3 dans le chapitre sur les troubles neurologiques) ou encore celui de maladie de Lyme. Quant au volet psychiatrique, il est rendu nécessaire par la présence de douleurs inexpliquées, pouvant le cas échéant être attribuées à un syndrome douloureux somatoforme persistant ou à trouble somatoforme douloureux persistant (figurant dans la CIM-10 sous le code diagnostic F45.5, dans le chapitre sur les troubles psychiques). Les symptômes de la recourante (état de fatigue, douleurs mal systématisées, symptômes d’allure neurologique, en particulier neurocognitifs et neurovégétatifs [difficultés de concentration, troubles de l’attention et de la mémoire à court terme ; orthostatisme avec intolérance à la position debout, parfois troubles du transit et/ou urinaires], troubles du sommeil, et céphalées d’allure tensionnelle) sont en outre compatibles tant avec les critères d’un syndrome de fatigue chronique qu’avec ceux d’une fibromyalgie (Revue médicale suisse, 2015, p. 2236), raison pour laquelle un volet rhumatologique s’avère également indispensable.</w:t>
      </w:r>
    </w:p>
    <w:p>
      <w:r>
        <w:t>A/1478/2019 - 18/20 - La Cour de céans relèvera encore, s’agissant du refus de l’OAI de procéder à un complément d’expertise psychiatrique, que le Dr D______ a expliqué, dans son rapport du 9 juin 2019, avoir adressé la recourante à un confrère psychiatre, de sorte que l’argument de l’intimé, selon lequel la recourante n’aurait pas consulté de médecin de cette spécialité, tombe à faux.</w:t>
      </w:r>
    </w:p>
    <w:p>
      <w:r>
        <w:rPr>
          <w:b/>
        </w:rPr>
        <w:t>E. 11</w:t>
      </w:r>
    </w:p>
    <w:p>
      <w:r>
        <w:t>En définitive, dans son état actuel, le dossier ne permet pas de statuer sur l’invalidité de la recourante. Aussi l’instruction doit-elle être complétée, en particulier par la mise en œuvre d’une expertise pluridisciplinaire dans les disciplines de la médecine interne, rhumatologique, neurologique et psychiatrique, ainsi que dans d’autres disciplines si nécessaire (cf. ATF 139 V 349 consid. 3.3), en échangeant au préalable avec les médecins qui suivent la recourante, essentiellement la Dresse E______ et le Dr D______, afin d’avoir un aperçu complet de la situation. Ladite expertise devra notamment permettre de déterminer si les atteintes dont souffre la recourante (douleurs quotidiennes, fatigue, céphalées et moral fluctuant) peuvent être attribuées à la maladie de Lyme, au syndrome de fatigue chronique, à une fibromyalgie, à un syndrome somatoforme douloureux et/ou à une autre maladie et si elles entraînent une incapacité de travail. C’est encore le lieu de rappeler, dans ce contexte, que le Tribunal fédéral a eu l'occasion de tenir compte d'une capacité de travail moyenne en raison du caractère cyclique d'une maladie (cf. p. ex. arrêt du Tribunal fédéral 9C_953/2008 du 5 octobre 2009 consid. 3.2). Dans un arrêt plus récent, le Tribunal fédéral a considéré que lorsqu'il s'agissait de déterminer la capacité résiduelle de travail d'une personne atteinte d'une maladie qui évoluait par poussées, il convenait d'intégrer dans le cadre de la réflexion la question de l'évolution dans le temps de la maladie, soit de tenir compte notamment de la fréquence et de l'intensité des poussées. Il n’était pas suffisant de se fonder sur une évaluation médicale qui ne reflétait qu'une image instantanée de la situation; celle-ci devait bien au contraire tracer de manière précise l'évolution - passée et future - de la capacité de travail. À cet égard, le médecin devait examiner l'évolution temporelle de la capacité de travail, en tenant compte, eu égard à l'évolution fluctuante de la maladie, aussi bien des phases actives que des phases moins actives de celle-ci. En d'autres termes, il devra se prononcer sur l'évolution chronologique de la pathologie et apprécier, dans une perspective à long terme, le retentissement global sur la capacité de travail de l'assuré (arrêt du Tribunal fédéral 9C_153/2015 du 3 novembre 2015 consid. 3.2, 3.3 et 3.4). A supposer que les plaintes de l’assurée ne trouvent aucun substrat objectivable, son état de santé devra être évalué selon le schéma d'évaluation au moyen d'un catalogue d'indicateurs développé par la jurisprudence en lien avec les troubles somatoformes douloureux et publié aux ATF 141 V 281, étant précisé que ces indicateurs sont également applicables aux troubles psychiques (ATF 143 V 418 consid. 6 et 7), à la fibromyalgie (ATF 132 V 65 consid. 4.1), ou encore au syndrome de fatigue chronique (ATF 139 V 346, arrêt du Tribunal fédéral</w:t>
      </w:r>
    </w:p>
    <w:p>
      <w:r>
        <w:t>A/1478/2019 - 19/20 - 9C_662/2009 du 17 août 2010 consid. 2.3 in SVR 2011 IV n° 26 p. 73). La description de la vie quotidienne à laquelle la Dresse F______ a procédé n’est pas suffisante pour déduire que la recourante dispose de ressources personnelles et familiales suffisantes au regard des indicateurs susmentionnés. S’agissant essentiellement là d’aspects n’ayant pas été instruits par l’office intimé, la cause lui sera renvoyée pour instruction afin de respecter le principe du double degré de juridiction.</w:t>
      </w:r>
    </w:p>
    <w:p>
      <w:r>
        <w:rPr>
          <w:b/>
        </w:rPr>
        <w:t>E. 12</w:t>
      </w:r>
    </w:p>
    <w:p>
      <w:r>
        <w:t>Au vu de ce qui précède, le recours est partiellement admis et la décision du</w:t>
      </w:r>
    </w:p>
    <w:p>
      <w:r>
        <w:rPr>
          <w:b/>
        </w:rPr>
        <w:t>E. 13</w:t>
      </w:r>
    </w:p>
    <w:p>
      <w:r>
        <w:t>mars 2019 annulée. La recourante, représentée, obtenant gain de cause, une indemnité de CHF 2'500.- lui est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200.- (art. 69 al. 1bis LAI).</w:t>
      </w:r>
    </w:p>
    <w:p>
      <w:r>
        <w:t>A/1478/2019 - 20/20 -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