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ATAS/404/2020 vom 18. Mai 2020</w:t>
      </w:r>
    </w:p>
    <w:p>
      <w:r>
        <w:t>GE Cour de justice, 2020-05-18, FR</w:t>
      </w:r>
    </w:p>
    <w:p>
      <w:r>
        <w:rPr>
          <w:b/>
        </w:rPr>
        <w:t xml:space="preserve">Quelle: </w:t>
      </w:r>
      <w:r>
        <w:t>https://mcp.opencaselaw.ch/entscheid/ge_gerichte_ATAS_404_2020</w:t>
      </w:r>
    </w:p>
    <w:p>
      <w:r>
        <w:t>FR: GE_GERICHTE ATAS/404/2020 du 18 mai 2020</w:t>
      </w:r>
    </w:p>
    <w:p>
      <w:r>
        <w:t>IT: GE_GERICHTE ATAS/404/2020 del 18 maggio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recours, interjeté dans les forme et délai prévus par la loi (art. 56ss LPGA), est recevable. Les conclusions constatatoires qu’il contient sont en principe irrecevables, eu égard à leur caractère subsidiaire par rapport aux conclusions condamnatoires (ATF 129 V 289 consid. 2.1). Elles n’ont cependant pas de portée propre par rapport à ces dernières, dont elles ne sont que les prémisses juridiques.</w:t>
      </w:r>
    </w:p>
    <w:p>
      <w:r>
        <w:rPr>
          <w:b/>
        </w:rPr>
        <w:t>E. 3</w:t>
      </w:r>
    </w:p>
    <w:p>
      <w:r>
        <w:t>Le litige porte sur le droit de la recourante à des prestations d’invalidité.</w:t>
      </w:r>
    </w:p>
    <w:p>
      <w:r>
        <w:rPr>
          <w:b/>
        </w:rPr>
        <w:t>E. 4</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L’invalidité est une notion économique et non médicale, et ce sont les conséquences économiques objectives de l'incapacité fonctionnelle qu'il importe</w:t>
      </w:r>
    </w:p>
    <w:p>
      <w:r>
        <w:t>A/3184/2019 - 9/15 -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w:t>
      </w:r>
    </w:p>
    <w:p>
      <w:r>
        <w:rPr>
          <w:b/>
        </w:rPr>
        <w:t>E. 5</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6</w:t>
      </w:r>
    </w:p>
    <w:p>
      <w:r>
        <w:t>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3a).En vertu de l’art. 28 al. 1er LAI, l’assuré a droit à une rente d’invalidité aux conditions suivantes : sa capacité de gain ou sa capacité d’accomplir ses travaux habituels ne peut pas être</w:t>
      </w:r>
    </w:p>
    <w:p>
      <w:r>
        <w:t>A/3184/2019 - 10/15 -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7</w:t>
      </w:r>
    </w:p>
    <w:p>
      <w:r>
        <w:t>a. Afin de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w:t>
      </w:r>
    </w:p>
    <w:p>
      <w:r>
        <w:t>A/3184/2019 - 11/15 -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d'œuvre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puisqu'une telle atteinte est indispensable à la reconnaissance de l'invalidité (art. 7 et 8 LPGA), et non de facteurs psychosociaux ou socioculturels qui sont étrangers à la définition juridique de l'invalidité (arrêt du Tribunal fédéral 9C_286/2015 du 12 janvier 2016 consid. 4.2 et les références). 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w:t>
      </w:r>
    </w:p>
    <w:p>
      <w:r>
        <w:t>A/3184/2019 - 12/15 -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 permet de tenir compte des différents éléments qui peuvent influencer le revenu d'une activité lucrative (ATF 126 V 75 consid. 5b). L’abattement ne peut résulter de déductions distinctes pour des facteurs séparés à prendre en considération. Une telle fragmentation n'est pas compatible avec une évaluation globale des effets des empêchements sur le revenu d'invalide qui suppose un examen des facteurs considérés dans leur ensemble et non pas une addition schématique de pourcentages (arrêt du Tribunal fédéral 9C_751/2011 du 30 avril 2012 consid. 4.2.2). Il n’est pas justifié de quantifier séparément chacun des facteurs de réduction entrant en ligne de compte et de les additionner, car on perdrait ainsi de vue les effets réciproques (ATF 126 V 75 consid. 5b/bb). Le manque de formation n’est pas déterminant dès lors qu’il s’agit d’un facteur étranger à l’invalidité (arrêt du Tribunal fédéral 9C_474/2010 du 11 avril 2011 consid. 3.2). Des connaissances linguistiques limitées sont également un facteur étranger à l’invalidité (arrêt du Tribunal fédéral 9C_344/2015 du 25 novembre 2015 consid. 2.3). En outre, les activités simples et répétitives correspondant aux niveaux 4 jusqu’à l’ESS 2010 et au niveau 1 dès l’ESS 2012 ne supposent par définition pas de bonnes connaissances linguistiques (arrêt du Tribunal fédéral 9C_426/2014 du 18 août 2014 consid. 4.2).</w:t>
      </w:r>
    </w:p>
    <w:p>
      <w:r>
        <w:rPr>
          <w:b/>
        </w:rPr>
        <w:t>E. 9</w:t>
      </w:r>
    </w:p>
    <w:p>
      <w:r>
        <w:t>En l’espèce, l’intimé a nié le droit de la recourante à des prestations en se fondant sur un degré d’invalidité nul, calculé en tenant compte de l’exigibilité d’une activité adaptée à un temps complet.</w:t>
      </w:r>
    </w:p>
    <w:p>
      <w:r>
        <w:t>A/3184/2019 - 13/15 - Sur ce point, force est de constater que tous les médecins traitants de la recourante ont admis que cette dernière disposait d’une pleine capacité de travail, sans diminution de rendement, dans un poste compatible avec ses limitations fonctionnelles. Ainsi, le Dr C______, qui a du reste indiqué que les plaintes de la recourante excédaient les atteintes objectivement constatées, a souligné dès 2016 la nécessité d’une réinsertion professionnelle dans une activité adaptée. Il a confirmé une capacité de travail complète dans une telle activité dans son rapport du 30 août 2018. La Dresse E______, que la recourante a consultée par la suite, partage cette appréciation. Cette rhumatologue soulignait en effet en juin 2018 et en février 2019 que le pronostic était favorable en cas de reprise d’une activité adaptée aux limitations fonctionnelles. On notera que les limitations fonctionnelles qu’elle a définies sont largement superposables à celles décrites par le Dr C______. Dans son certificat du 20 juin 2019, produit par la recourante à l’appui de ses observations, la Dresse E______ a énuméré les diagnostics déjà posés et les limitations fonctionnelles de la recourante, mais n’a pas exclu la possibilité d’une reprise professionnelle à plein temps dans un poste respectant lesdites limitations. Le Dr D______ a lui aussi conclu que la capacité de travail pourrait être complète dans un emploi adapté dans son rapport du 8 juin 2018, ce qui découle également implicitement du fait qu’il a préconisé un changement d’activité professionnelle dans son attestation du 8 septembre 2017. On peut encore souligner que la formation entreprise par la recourante dans le domaine de l’esthétique – qui a dû être interrompue pour des raisons financières et non médicales selon la Dresse E______ – plaide également en faveur de l’aptitude à exercer une activité adaptée. Quant au certificat du Dr G______, il ne se prononce pas expressément sur la capacité de travail et de gain de la recourante. Les douleurs rapportées, liées à l’emploi de serveuse, ont déjà été prises en compte par les autres médecins puisqu’ils ont exclu la reprise d’une telle activité. Pour le surplus, les éléments de ce certificat cités à l’appui du recours, relatifs aux difficultés quotidiennes de la recourante, correspondent aux plaintes rapportées par cette dernière et non à des observations cliniques. Par ailleurs, ils ne portent pas sur des limitations fonctionnelles en lien avec la sphère professionnelle. Dès lors, le certificat du Dr G______ ne justifie pas que l’on s’écarte des conclusions des précédents rhumatologues traitants, puisqu’il ne les contredit pas. Partant, compte tenu des avis convergents des médecins traitants, et en l’absence de tout élément mettant en doute leurs conclusions ou la pertinence des limitations retenues, c’est à juste titre que l’intimé a considéré que la mise en valeur par la recourante de sa capacité résiduelle de travail était exigible à plein temps et sans diminution de rendement. La chambre de céans renoncera ainsi aux mesures d’instruction requises, par appréciation anticipée des preuves (ATF 130 II 425 consid. 2.1).</w:t>
      </w:r>
    </w:p>
    <w:p>
      <w:r>
        <w:t>A/3184/2019 - 14/15 -</w:t>
      </w:r>
    </w:p>
    <w:p>
      <w:r>
        <w:rPr>
          <w:b/>
        </w:rPr>
        <w:t>E. 10</w:t>
      </w:r>
    </w:p>
    <w:p>
      <w:r>
        <w:t>Reste à examiner le calcul du degré d’invalidité auquel l’intimé a procédé. En préambule, il faut souligner que le statut d’active de la recourante n’est pas contesté. S’agissant du revenu sans invalidité, l’intimé s’est fondé sur le revenu réalisé par la recourante dans sa dernière activité à 50 %, qu’il a extrapolé à 100 %. A cet égard, la question de savoir si, compte tenu du fait que la recourante n’exploitait pas pleinement sa capacité de travail dans cette activité, qu’il n’est pas démontré qu’elle aurait pu augmenter son taux d’activité, et que les rapports de travail ont en outre été résiliés, on devrait plutôt se référer au revenu tiré d’activités simples et répétitives selon l’ESS (TA1_tirage_skill_level, niveau 1) pour déterminer le revenu sans invalidité, peut rester ouverte dès lors qu’elle n’a pas d’incidence sur le droit aux prestations de la recourante. En effet, les mêmes données statistiques étant applicables pour fixer le revenu après invalidité, il n'est pas nécessaire de chiffrer précisément les revenus avec et sans invalidité, dans la mesure où le taux d'invalidité se confond avec le taux d'incapacité de travail, mais une réduction supplémentaire du revenu d'invalide est possible en fonction des circonstances personnelles et professionnelles du cas particulier (arrêt du Tribunal fédéral 9C_842/2018 du 7 mars 2019 consid. 5.1). Or, les arguments de la recourante, ayant trait aux difficultés linguistiques alléguées et à l’absence de formation, justifiant selon elle l’application de la déduction maximale de 25 %, tombent à faux. En effet, comme cela ressort de la jurisprudence citée, le manque de connaissances du français relève d’un facteur étranger à l’invalidité. En outre, les activités simples et répétitives englobées dans le niveau 1 du tableau TA1_tirage_skill_level sont dans leur très grande majorité accessibles sans formation préalable. On peut certes se demander si les limitations fonctionnelles de la recourante, consistant essentiellement en mesures classiques d’épargne du rachis, doivent conduire à l’admission d’un abattement. Cette question peut toutefois rester ouverte, dès lors que même une déduction maximale de 25 % n’ouvrirait pas le droit à la rente, et que des mesures de réinsertion ne sont pas indispensables, au vu du large éventail d’activités adaptées sur un marché équilibré du travail, que la recourante est à même d’exercer après une mise au courant en début d’emploi. Ainsi, la décision de l’intimée sera confirmée.</w:t>
      </w:r>
    </w:p>
    <w:p>
      <w:r>
        <w:rPr>
          <w:b/>
        </w:rPr>
        <w:t>E. 11</w:t>
      </w:r>
    </w:p>
    <w:p>
      <w:r>
        <w:t>Le recours est rejeté. La recourante, qui succombe, supporte l’émolument de procédure de CHF 200.- (art. 69 al. 1bis LAI).</w:t>
      </w:r>
    </w:p>
    <w:p>
      <w:r>
        <w:t>A/3184/2019 - 15/15 -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