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ATAS/404/2019 vom 9. Mai 2019</w:t>
      </w:r>
    </w:p>
    <w:p>
      <w:r>
        <w:t>GE Cour de justice, 2019-05-09, FR</w:t>
      </w:r>
    </w:p>
    <w:p>
      <w:r>
        <w:rPr>
          <w:b/>
        </w:rPr>
        <w:t xml:space="preserve">Quelle: </w:t>
      </w:r>
      <w:r>
        <w:t>https://mcp.opencaselaw.ch/entscheid/ge_gerichte_ATAS_404_2019</w:t>
      </w:r>
    </w:p>
    <w:p>
      <w:r>
        <w:t>FR: GE_GERICHTE ATAS/404/2019 du 9 mai 2019</w:t>
      </w:r>
    </w:p>
    <w:p>
      <w:r>
        <w:t>IT: GE_GERICHTE ATAS/404/2019 del 9 maggio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 était fondé de refuser d’entrer en matière sur la dernière demande du recourant.</w:t>
      </w:r>
    </w:p>
    <w:p>
      <w:r>
        <w:rPr>
          <w:b/>
        </w:rPr>
        <w:t>E. 4</w:t>
      </w:r>
    </w:p>
    <w:p>
      <w:r>
        <w:t>a.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w:t>
      </w:r>
    </w:p>
    <w:p>
      <w:r>
        <w:t>A/564/2019 - 8/10 -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a. En l’occurrence, le recourant a fait l’objet d’une expertise en octobre 2017 par la Dresse C______. Celle-ci constate des lombalgies chroniques sur troubles statiques, une obésité, un déconditionnement et une discopathie modérée L4-L5. Dans les limitations fonctionnelles, elle mentionne la nécessité d’une alternance des positions assise et debout, une limitation des charges à 5-7 kg occasionnellement et l’absence de la position penchée en avant qui augmente les douleurs. Selon l’experte, il est normal qu’après plus de quatorze ans d’inactivité professionnelle, il y a un déconditionnement et un manque d’endurance. Il est par ailleurs plausible</w:t>
      </w:r>
    </w:p>
    <w:p>
      <w:r>
        <w:t>A/564/2019 - 9/10 - que les activités exercées dans l’entreprises Pro aient pu provoquer des douleurs, le recourant n’ayant plus travaillé depuis plus de quatorze ans. Même si la capacité de concentration était diminuée en raison des douleurs, cela ne devrait pas empêcher une activité simple et répétitive qui ne nécessitait pas une grande concentration. Partant, la capacité de travail était entière dans toute activité relativement légère et respectant les limitations fonctionnelles, avec une diminution de rendement de 20 %. Au demeurant, l’état de santé du recourant ne s’était pas aggravé depuis 2007 sur le plan rhumatologique. Néanmoins, le pronostic de l’experte judiciaire était sombre en l’absence d’une aide pour une réintégration professionnelle, à cause de la chronicisation des douleurs, de l’âge, du manque de formation et de la longue absence du marché du travail. Quant au rapport du 13 septembre 2018 de la Dresse D______, il ne fait pas état d’autres atteintes à la santé que celles mentionnées par l’experte judiciaire. Le médecin traitant indique également que les plaintes du recourant sont restées les mêmes, tout en certifiant une aggravation de l’état de santé de jour en jour avec l’augmentation de la fréquence des crises douloureuses, de l’intensité des douleurs et des blocages au niveau du rachis dorso-lombaire. b. La seule affirmation qu’il y a une aggravation des douleurs, sans modification des diagnostics ou une modification de l’état de santé rendue plausible par des examens radiologiques, n’est pas suffisante en l'espèce pour admettre une aggravation. En effet, depuis de longues années le recourant considère qu’il souffre d’atteintes physiques ne lui permettant plus de travailler ni de retrouver un emploi sur le marché du travail. Or, le médecin traitant ne fait état d'aucune nouvelle atteinte avec répercussion sur la capacité de travail et les autres atteintes ont été investiguées par une experte judiciaire il y a moins de deux ans. Celle-ci considère que l’état de santé ne justifie pas une incapacité de travail. Il convient également de relever que ce qui est déterminant est le marché théorique du travail et non pas la situation concrète de l’emploi. Seule compte la question de savoir si un emploi adapté aux limitations fonctionnelles de l’assuré existe sur le marché du travail mais non pas le nombre des emplois. Par ailleurs, l'OAI n'a aucune obligation de trouver un emploi pour un assuré handicapé. Partant, c’est à raison que l’intimé a considéré qu’une aggravation de l’état de santé ou une modification des circonstances n’a pas été rendue plausible.</w:t>
      </w:r>
    </w:p>
    <w:p>
      <w:r>
        <w:rPr>
          <w:b/>
        </w:rPr>
        <w:t>E. 6</w:t>
      </w:r>
    </w:p>
    <w:p>
      <w:r>
        <w:t>Cela étant, le recours sera rejeté.</w:t>
      </w:r>
    </w:p>
    <w:p>
      <w:r>
        <w:rPr>
          <w:b/>
        </w:rPr>
        <w:t>E. 7</w:t>
      </w:r>
    </w:p>
    <w:p>
      <w:r>
        <w:t>Dans la mesure où le recourant est soutenu par l'Hospice général, la chambre de céans renonce à mettre à sa charge un émolument de justice.</w:t>
      </w:r>
    </w:p>
    <w:p>
      <w:r>
        <w:t>***</w:t>
      </w:r>
    </w:p>
    <w:p>
      <w:r>
        <w:t>A/564/2019 - 10/10 -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