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ATAS/404/2015 vom 8. Juni 2015</w:t>
      </w:r>
    </w:p>
    <w:p>
      <w:r>
        <w:t>GE Cour de justice, 2015-06-08, FR</w:t>
      </w:r>
    </w:p>
    <w:p>
      <w:r>
        <w:rPr>
          <w:b/>
        </w:rPr>
        <w:t xml:space="preserve">Quelle: </w:t>
      </w:r>
      <w:r>
        <w:t>https://mcp.opencaselaw.ch/entscheid/ge_gerichte_ATAS_404_2015</w:t>
      </w:r>
    </w:p>
    <w:p>
      <w:r>
        <w:t>FR: GE_GERICHTE ATAS/404/2015 du 8 juin 2015</w:t>
      </w:r>
    </w:p>
    <w:p>
      <w:r>
        <w:t>IT: GE_GERICHTE ATAS/404/2015 del 8 giugno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délais prescrits, le recours formé le 27 janvier 2014 contre la décision sur opposition de la caisse du 9 décembre 2013 est recevable (art. 56 et ss. LPGA).</w:t>
      </w:r>
    </w:p>
    <w:p>
      <w:r>
        <w:rPr>
          <w:b/>
        </w:rPr>
        <w:t>E. 3</w:t>
      </w:r>
    </w:p>
    <w:p>
      <w:r>
        <w:t>Le litige porte sur l'obligation de paiement par la recourante des cotisations sociales pour l'activité déployée par le travailleur de janvier 2008 à décembre 2012, singulièrement sur la détermination du statut de salarié ou d'indépendant du précité.</w:t>
      </w:r>
    </w:p>
    <w:p>
      <w:r>
        <w:rPr>
          <w:b/>
        </w:rPr>
        <w:t>E. 4</w:t>
      </w:r>
    </w:p>
    <w:p>
      <w:r>
        <w:t>Sont assurés à titre obligatoire, selon l’art. 1a al. 1 LAA, les travailleurs occupés en Suisse. Selon l’art. 1 de l'ordonnance sur l’assurance-accidents (OLAA ; RS 832.202), est réputé travailleur au sens de l’art. 1a al. 1 LAA quiconque exerce une activité lucrative dépendante au sens de la législation fédérale sur l’assurance- vieillesse et survivants. Est réputé salarié celui qui fournit un travail dépendant et qui reçoit pour ce travail un salaire déterminant au sens des lois spéciales (art. 10 LPGA). Cette disposition renvoie aux lois spéciales et n'a aucun effet sur ces dernières: elle ne prévoit ni une annulation de ces dernières, ni n'introduit d'éventuelles dérogations dans les lois spéciales (ATFA non publié du 10 avril 2006, H 2/06, consid. 6). Est considéré comme exerçant une activité lucrative indépendante celui dont le revenu ne provient pas de l’exercice d’une activité en tant que salarié. Une</w:t>
      </w:r>
    </w:p>
    <w:p>
      <w:r>
        <w:t>A/228/2014 - 11/18 -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5</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w:t>
      </w:r>
    </w:p>
    <w:p>
      <w:r>
        <w:t>A/228/2014 - 12/18 - En outre, la possibilité pour le travailleur d'organiser son horaire de travail ne signifie pas nécessairement qu'il s'agit d'une activité indépendante (VSI 1996 p. 257 ss consid. 3c ; ATFA non publié du 10 janvier 2005, H 334/03 consid. 6.2.1).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(GREBER/DUC/SCARTAZZINI, Commentaire des art. 1 à 16 de la loi fédérale sur l'assurance-vieillesse et survivants, 1966, n° 111 ad art. 5 LAVS, p. 181 ; ATFA non publié du 14 novembre 2002, H 188/02 consid. 5.2).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Raphael LANZ, Die Abgrenzung der selbständigen von den unselbständigen Erwerbstätigkeit im Sozialversicherungs-, Steuer-und Zivilrecht, in: PJA 12/1997 p.1474 sv.; GREBER / DUC / SCARTAZZINI, Commentaire des art. 1 à 16 de la loi fédérale sur l'assurance- vieillesse et survivants [LAVS], Bâle 1997, n. 103 ad art. 5; Hanspeter KÄSER, Unterstellung und Beitragswesen in der obligatorischen AHV, Berne 1996, p. 120, n. 4.30).</w:t>
      </w:r>
    </w:p>
    <w:p>
      <w:r>
        <w:rPr>
          <w:b/>
        </w:rPr>
        <w:t>E. 6</w:t>
      </w:r>
    </w:p>
    <w:p>
      <w:r>
        <w:t>En règle générale, les instructions, les circulaires et les directives administratives – ou, en d’autres termes, les ordonnances administratives – n’ont, selon la jurisprudence et la doctrine, pas force de loi et ne constituent pas du droit fédéral au sens de l’article 49 let.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w:t>
      </w:r>
    </w:p>
    <w:p>
      <w:r>
        <w:t>A/228/2014 - 13/18 - Les directives de l'Office fédéral des assurances sociales (ci-après : OFAS) sur les cotisations des travailleurs indépendants et des personnes sans activité lucrative dans l’AVS, AI et APG (DIN) et sur le salaire déterminant dans l’AVS, AI et APG (DSD) valables dès le 1er janvier 2008, qui sont régulièrement mises à jour notamment par rapport à l'évolution de la jurisprudence, comportent notamment les principes suivants : ch. 1050 DIN : la personne qui désire être affiliée comme travailleur indépendant doit s’annoncer auprès de la caisse de compensation compétente. La personne doit avoir entrepris des démarches en vue d’accomplir une activité déterminée ; ch. 1056 DIN: en ce qui concerne les tâcherons, la caisse est liée par la décision de la CNA. Cette disposition renvoie pour le surplus aux DSD sur les principes régissant la détermination du statut des travailleurs à la tâche ; ch. 4042 DSD: travaillent à la tâche ou comme «sous-entrepreneurs» les personnes à qui un entrepreneur ou un exploitant confie des travaux en sous-traitance; ch. 4043 DSD : pour les tâcherons travaillant dans des entreprises de l’industrie du bâtiment ou dans les exploitations forestières, comme dans les autres entreprises énumérées à l’art. 66 LAA, la qualification des rétributions aux fins de l’AVS s’aligne (contrairement à la règle générale du no 1032) sur celle qui a été retenue par la CNA ; ch. 4044 DSD : pour les tâcherons n’effectuant pas un travail dans une entreprise assurée à titre obligatoire auprès de la CNA, c’est aux caisses de compensation qu’il appartient de trancher, en appliquant par analogie les dispositions qui suivent ; ch. 1013 DSD: doit en principe être considéré comme exerçant une activité dépendante, celui qui ne supporte pas de risque économique analogue à celui qui est encouru par l’entrepreneur et dépend de son employeur du point de vue économique ou dans l’organisation du travail ; ch. 1014 DSD: constituent notamment des indices révélant l’existence d’un risque économique d’entrepreneur le fait que l’assuré : – opère des investissements importants – encourt les pertes – supporte le risque d’encaissement et de ducroire – supporte les frais généraux – agit en son propre nom et pour son propre compte – se procure lui-même les mandats – occupe du personnel – utilise ses propres locaux commerciaux.</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A/228/2014 - 14/18 -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w:t>
      </w:r>
    </w:p>
    <w:p>
      <w:r>
        <w:rPr>
          <w:b/>
        </w:rPr>
        <w:t>E. 10</w:t>
      </w:r>
    </w:p>
    <w:p>
      <w:r>
        <w:t>Dans son opposition à la décision initiale du 15 novembre 2013, la recourante s'est opposée au tarif horaire retenu par l'intimée, en faisant valoir qu'il lui était impossible de rémunérer un monteur, qualifié ou non, à CHF 60.- de l'heure, hors frais de véhicule, assurances, essence, habits de travail,… L'argument a d'ailleurs été repris, dans le cadre de la présente procédure, la recourante faisant valoir que l'intéressé était payé à un tarif horaire plus élevé que l'employé le plus payé de l'entreprise, soit un monteur qualifié qui, à la différence de M. B______, était capable de souder, mais qui, quant à lui, n'était payé que CHF 38.- l'heure. Toujours est-il qu'au vu des arguments développés par la recourante, au stade de l'opposition déjà, l'intimée a été amenée à reprendre ses calculs, en admettant conformément à l'art. 9 al. 2 ch.2 let. a LAVS l'imputation des frais de location de véhicules, et ayant</w:t>
      </w:r>
    </w:p>
    <w:p>
      <w:r>
        <w:t>A/228/2014 - 17/18 - porté la déduction à hauteur d'un forfait de 20 % (soit un montant de CHF 13'535.-) du montant total des prestations litigieuses facturées, au titre de frais généraux. L'intimée a justifié ce pourcentage, sur la base du constat, dans le cadre de ses contrôles, selon lequel habituellement les frais généraux hors salaires représentent entre 15 et 20 % du chiffre d'affaires hors marchandises. La chambre de céans tient toutefois à observer à cet égard que, dans le cadre de sa réponse au recours, l'intimée a prétendu qu'elle aurait pu ne pas accorder un tel abattement, car une telle réduction forfaitaire aurait été supprimée depuis le 1er janvier 2010. Elle vise à cet égard le Bulletin à l'intention des caisses de compensation AVS et des organes d'exécution des PC No. 220. À tort. En effet, cette annonce, du mois d'avril 2008, indique que depuis les origines de l’AVS, les directives de l'OFAS autorisent certaines branches professionnelles à recourir à des frais forfaitaires fixés à raison d’un certain pourcentage du salaire, et précise que sont (seuls) concernés par la suppression de ces forfaits les voyageurs et représentants de commerce: en règle générale 25 pour-cent du salaire brut (DSD n° 4030); les travailleurs à domicile: 10 pour-cent du salaire versé (DSD n° 4058) ; les DJs, musiciens et artistes: jusqu’à 20 pour-cent (DSD n° 4063) et les journalistes et photographes de presse: jusqu’à 20 pour-cent (DSD n° 4076). Il n'y est pas question des professions du bâtiment… En réalité, l'intimée a procédé comme le prévoit le ch. 3016 DSD mentionné ci- dessus, soit « en l’absence d’une déclaration de frais pour les impôts, lorsque l’employeur ne décompte pas les frais sur la base de justificatifs ni au moyen d’indemnités forfaitaires à l’intention des autorités fiscales », elle a considéré comme « établi que des frais généraux ont été encourus et que des circonstances spéciales empêchaient la preuve stricte de ces frais », et les a donc estimés, selon la méthode qu'elle a indiquée. Elle a donc correctement appliqué les principes fixés par les directives applicables. Pour le surplus les résultats auxquels elle est parvenue dans la décision entreprise échappent à toute critique.</w:t>
      </w:r>
    </w:p>
    <w:p>
      <w:r>
        <w:rPr>
          <w:b/>
        </w:rPr>
        <w:t>E. 11</w:t>
      </w:r>
    </w:p>
    <w:p>
      <w:r>
        <w:t>En tous points mal fondé, le recours sera rejeté.</w:t>
      </w:r>
    </w:p>
    <w:p>
      <w:r>
        <w:rPr>
          <w:b/>
        </w:rPr>
        <w:t>E. 12</w:t>
      </w:r>
    </w:p>
    <w:p>
      <w:r>
        <w:t>Pour le surplus, la procédure est gratuite (art. 61 let.a LPGA)</w:t>
      </w:r>
    </w:p>
    <w:p>
      <w:r>
        <w:t>A/228/2014 - 18/18 -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