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ATAS/404/2005 vom 10. Mai 2005</w:t>
      </w:r>
    </w:p>
    <w:p>
      <w:r>
        <w:t>GE Cour de justice, 2005-05-10, FR</w:t>
      </w:r>
    </w:p>
    <w:p>
      <w:r>
        <w:rPr>
          <w:b/>
        </w:rPr>
        <w:t xml:space="preserve">Quelle: </w:t>
      </w:r>
      <w:r>
        <w:t>https://mcp.opencaselaw.ch/entscheid/ge_gerichte_ATAS_404_2005</w:t>
      </w:r>
    </w:p>
    <w:p>
      <w:r>
        <w:t>FR: GE_GERICHTE ATAS/404/2005 du 10 mai 2005</w:t>
      </w:r>
    </w:p>
    <w:p>
      <w:r>
        <w:t>IT: GE_GERICHTE ATAS/404/2005 del 10 maggio 2005</w:t>
      </w:r>
    </w:p>
    <w:p>
      <w:pPr>
        <w:pStyle w:val="Heading2"/>
      </w:pPr>
      <w:r>
        <w:t>Erwägungen</w:t>
      </w:r>
    </w:p>
    <w:p>
      <w:r>
        <w:rPr>
          <w:b/>
        </w:rPr>
        <w:t>E. 27</w:t>
      </w:r>
    </w:p>
    <w:p>
      <w:r>
        <w:t>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 V al. 2 let. a LOJ, le Tribunal cantonal des assurances sociales connaît en instance unique des contestations prévues à l’article 43, de la loi cantonale sur les prestations cantonales complémentaires à l’assurance-vieillesse et survivants et à l’assurance-invalidité, du 25 octobre 1968 (LPCC) ; Que sa compétence pour juger du cas d’espèce est ainsi établie ; Qu’aux termes de l’art. 56 de la loi fédérale sur la partie générale du droit des assurances sociales du 6 octobre 2000 entrée en vigueur le 1er janvier 2003 (LPGA), le recours peut aussi être formé lorsque l’assureur, malgré la demande de l’intéressé, ne rend pas de décision ou de décision sur opposition ; Que l’art. 29 al. 1 Cst. - qui a succédé à l'art. 4 al. 1 aCst. depuis le 1er janvier 2000 - dispose que toute personne a droit, dans une procédure judiciaire ou administrative, à ce</w:t>
      </w:r>
    </w:p>
    <w:p>
      <w:r>
        <w:t>A/2570/2004 - 3/4 - que sa cause soit traitée équitablement et jugée dans un délai raisonnable ; qu’à l'instar de l'art. 6 par. 1 CEDH - qui n'offre, à cet égard, pas une protection plus étendue (RCC 1978 p. 325 consid. 2) -, cette disposition consacre le principe de la célérité, autrement dit prohibe le retard injustifié à statuer ;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129 V 416 consid. 1, 126 V 249 consid. 4a, 124 I 139, 119 III 1, 117 Ia 117 consid. 3a, 197 consid. 1c; voir aussi Auer/Malinverni/Hottelier, Droit constitutionnel suisse, vol. II, Les droits fondamentaux, p. 594 s. nos 1244 s.) : Que le caractère raisonnable de la durée de la procédure s'apprécie en fonction des circonstances particulières de la cause, lesquelles commandent généralement une évaluation globale ; qu’entre autres critères, sont notamment déterminants le degré de complexité de l'affaire, l'enjeu que revêt le litige pour l'intéressé ainsi que le comportement de ce dernier et celui des autorités compétentes (ATF 124 I 142 consid. 2c, 119 Ib 325 consid. 5b et les références indiquées). Qu’à cet égard, il appartient au justiciable d'entreprendre ce qui est en son pouvoir pour que l'autorité fasse diligence, que ce soit en l'invitant à accélérer la procédure ou en recourant, le cas échéant, pour retard injustifié (ATF 107 Ib 155 consid. 2b et c p. 158 s.) ; que cette obligation s'apprécie toutefois avec moins de rigueur en procédure pénale et administrative (Haefliger/Schürmann, Die Europäische Menschenrechtskonvention und die Schweiz, Berne 1999, p. 203-204; Auer/Malinverni/Hottelier, op. cit., n° 1243). Qu’on ne saurait par ailleurs reprocher à une autorité quelques temps morts; que ceux-ci sont inévitables dans une procédure (ATF 124 I 142 consid. 2c, 119 Ib 325 consid. 5b et les références indiquées). Qu’une organisation déficiente ou une surcharge structurelle ne peuvent cependant justifier la lenteur excessive d'une procédure (ATF 122 IV 111 consid. I/4); qu’il appartient en effet à l'Etat d'organiser ses juridictions de manière à garantir aux citoyens une administration de la justice conforme aux règles (ATF 119 III 3 consid. 3; Haefliger/Schürmann, op. cit., p. 204 s.; Auer/Malinverni/Hottelier, op. cit., nos 1244 ss) ; Que le litige porte sur le point de savoir si l’OCPA a en l’espèce commis ou non un déni de justice ; Que l’OCPA a reçu le devis concernant les lunettes le 5 novembre 2004 ; Qu’il a adressé à l’intéressée le 13 décembre 2004, un courrier l’invitant dans un premier temps à faire parvenir à l’assurance maladie la facture des lunettes ; que l’OCPA ne peut en effet procéder au remboursement qu’une fois connue la détermination de l’assurance maladie et pour la part non couverte ; Que l’OCPA ne peut, dans cette attente, rendre aucune décision ; Qu’on ne saurait ainsi lui reprocher un quelconque retard au sens de l’art. 56 al. 2 LPGA ;</w:t>
      </w:r>
    </w:p>
    <w:p>
      <w:r>
        <w:t>A/2570/2004 - 4/4 -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