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ATAS/403/2020 vom 25. Mai 2020</w:t>
      </w:r>
    </w:p>
    <w:p>
      <w:r>
        <w:t>GE Cour de justice, 2020-05-25, FR</w:t>
      </w:r>
    </w:p>
    <w:p>
      <w:r>
        <w:rPr>
          <w:b/>
        </w:rPr>
        <w:t xml:space="preserve">Quelle: </w:t>
      </w:r>
      <w:r>
        <w:t>https://mcp.opencaselaw.ch/entscheid/ge_gerichte_ATAS_403_2020</w:t>
      </w:r>
    </w:p>
    <w:p>
      <w:r>
        <w:t>FR: GE_GERICHTE ATAS/403/2020 du 25 mai 2020</w:t>
      </w:r>
    </w:p>
    <w:p>
      <w:r>
        <w:t>IT: GE_GERICHTE ATAS/403/2020 del 25 maggio 2020</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t>_____________________________________________________________________________________</w:t>
      </w:r>
    </w:p>
    <w:p>
      <w:r>
        <w:t>A/3863/2019 - 17/26 -</w:t>
      </w:r>
    </w:p>
    <w:p>
      <w:r>
        <w:rPr>
          <w:b/>
        </w:rPr>
        <w:t>E. 2</w:t>
      </w:r>
    </w:p>
    <w:p>
      <w:r>
        <w:t>Le recours, interjeté dans les forme et délai prévus par la loi, est recevable (art. 56 à 60 LPGA).</w:t>
      </w:r>
    </w:p>
    <w:p>
      <w:r>
        <w:rPr>
          <w:b/>
        </w:rPr>
        <w:t>E. 3</w:t>
      </w:r>
    </w:p>
    <w:p>
      <w:r>
        <w:t>Le litige porte sur le droit de la recourante à une rente d’invalidité.</w:t>
      </w:r>
    </w:p>
    <w:p>
      <w:r>
        <w:rPr>
          <w:b/>
        </w:rPr>
        <w:t>E. 4</w:t>
      </w:r>
    </w:p>
    <w:p>
      <w:r>
        <w:t>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w:t>
      </w:r>
    </w:p>
    <w:p>
      <w:r>
        <w:t>_____________________________________________________________________________________</w:t>
      </w:r>
    </w:p>
    <w:p>
      <w:r>
        <w:t>A/3863/2019 - 18/26 -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w:t>
      </w:r>
    </w:p>
    <w:p>
      <w:r>
        <w:rPr>
          <w:b/>
        </w:rPr>
        <w:t>E. 5</w:t>
      </w:r>
    </w:p>
    <w:p>
      <w:r>
        <w:t>Dans un arrêt relativement récent concernant les troubles somatoformes douloureux (ATF 141 V 281), le Tribunal fédéral a retenu que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Il y a désormais lieu de se fonder sur une grille d’analyse comportant divers indicateurs qui rassemblent les éléments essentiels propres aux troubles de nature psychosomatique (consid. 3.6). Ces indicateurs concernent deux catégories, à savoir celle du degré de gravité fonctionnelle et celle de la cohérence.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Par exemple, sur le plan étiologique, la caractéristique du syndrome somatoforme douloureux persistant est, selon la CIM-10 (F 45.5), qu’il survient dans un contexte de conflits émotionnels ou de problèmes psycho-sociaux. En revanche, la notion de bénéfice primaire de la maladie ne doit plus être utilisée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w:t>
      </w:r>
    </w:p>
    <w:p>
      <w:r>
        <w:t>_____________________________________________________________________________________</w:t>
      </w:r>
    </w:p>
    <w:p>
      <w:r>
        <w:t>A/3863/2019 - 19/26 -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A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(consid. 4.3.1.3). Un trouble qui, selon la jurisprudence, ne peut pas être invalidant en tant que tel (arrêt du Tribunal fédéral 9C_98/2010 du 28 avril 2010 consid. 2.2.2) n’est pas une comorbidité (arrêt du Tribunal fédéral 9C_1040/2010 du 6 juin 2011 consid. 3.4.2.1) mais doit à la rigueur être pris en considération dans le cadre du diagnostic de la personnalité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w:t>
      </w:r>
    </w:p>
    <w:p>
      <w:r>
        <w:t>_____________________________________________________________________________________</w:t>
      </w:r>
    </w:p>
    <w:p>
      <w:r>
        <w:t>A/3863/2019 - 20/26 -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ses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(ATF 137 V 64 consid. 1.2 in fine).</w:t>
      </w:r>
    </w:p>
    <w:p>
      <w:r>
        <w:rPr>
          <w:b/>
        </w:rPr>
        <w:t>E. 6</w:t>
      </w:r>
    </w:p>
    <w:p>
      <w:r>
        <w:t>Dans un arrêt de 2017, le Tribunal fédéral a étendu la jurisprudence précitée à toutes les maladies psychiques (ATF 143 V 409 consid. 4.5). Il convient encore de préciser que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elle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w:t>
      </w:r>
    </w:p>
    <w:p>
      <w:r>
        <w:rPr>
          <w:b/>
        </w:rPr>
        <w:t>E. 7</w:t>
      </w:r>
    </w:p>
    <w:p>
      <w:r>
        <w:t>Dans un arrêt de principe rendu en matière d’assurance-invalidité, le Tribunal fédéral a établi des exigences accrues en matière de participation des assurés</w:t>
      </w:r>
    </w:p>
    <w:p>
      <w:r>
        <w:t>_____________________________________________________________________________________</w:t>
      </w:r>
    </w:p>
    <w:p>
      <w:r>
        <w:t>A/3863/2019 - 21/26 - lorsqu’une assurance sociale diligente une expertise, eu égard à leur droit d’être entendus. Ces exigences comprennent le droit de se prononcer sur le choix de l'expert, de connaître les questions qui lui seront posées, et d'en formuler d'autres (ATF 137 V 210 consid. 3.2.4.6 et 3.2.4.9). On soulignera du reste que ces exigences ressortent également des art. 57 ss de la loi sur la procédure civile fédérale (PCF – RS 273), applicables par analogie à la procédure administrative (Marco WEISS, Die Mitwirkungsrechte der Bundeszivilprozessordnung im Sozialversicherungsrecht : aktuelle Entwicklungen in der bundesgerichtlichen Rechtsprechung in AJP 2016 p. 1214). Le fait pour une assurance de ne pas permettre à un assuré d’exercer les prérogatives résultant de son droit d’être entendu, soit en particulier celui de se prononcer sur la nomination de l'expert, sur les questions à poser, ainsi que sur le résultat de l'expertise, relève d’une grave violation de ce droit (arrêt du Tribunal fédéral des assurances U 22/03 du 10 juillet 2003 consid. 4). Ce vice ne peut être réparé lorsque l'expertise constitue l'élément central et prépondérant de l'instruction (RAMA 2000 n° U 369 p. 104 consid. 2b ; arrêt du Tribunal fédéral des assurances U 265/04 du 23 septembre 2005 consid. 2.3).</w:t>
      </w:r>
    </w:p>
    <w:p>
      <w:r>
        <w:rPr>
          <w:b/>
        </w:rPr>
        <w:t>E. 8</w:t>
      </w:r>
    </w:p>
    <w:p>
      <w:r>
        <w:t>Au sujet de l’expertise réalisée par le Dr C______, sur laquelle l’intimé fonde le refus de prestations, la chambre de céans retient ce qui suit. S’agissant de la violation du droit d’être entendue alléguée par la recourante, il paraît douteux que la manière dont l’intimé a mis en œuvre l’expertise satisfasse entièrement aux exigences rappelées ci-dessus. En effet, il n’a pas indiqué l’identité de l’expert appelé à examiner la recourante, qui n’a pris connaissance de son identité que par le courrier du CEML. Celle-ci n’a ainsi pas pu se prononcer sur le choix du Dr C______, à tout le moins dans un premier temps. En ce qui concerne l’expertise en tant que telle, les remarques suivantes s’imposent. Au plan formel, l’intégration du volet neuropsychologique réalisée par Mme D______ dans le corps du rapport de l’expert psychiatre rend sa lecture malaisée, dès lors qu’il est difficile de distinguer les appréciations de ces deux intervenants. Sur le fond, il n’est pas fait mention d’un consilium entre ces experts, et il est incompréhensible que le Dr C______ n’ait pas exposé les raisons pour lesquelles il ne reprenait pas l’incapacité de travail de 20 % admise par Mme D______ en raison des troubles neuropsychologiques. Ce seul point suscite des doutes trop importants pour admettre la valeur probante de cette expertise. Pour le surplus, le Dr C______ a pris connaissance du dossier de la recourante. Il a détaillé ses plaintes et son parcours personnel, et il a pris contact avec le psychiatre traitant. Ces volets de l’expertise ne prêtent ainsi pas flanc à la critique. Cependant, s’agissant du status, l’expert s’est contenté d’énumérer une liste de symptômes, sans guère décrire les constatations cliniques qui justifiaient de les retenir ou de les écarter. Sur ce point, son rapport est par trop bref et succinct pour satisfaire aux exigences de motivation d’une expertise psychiatrique. En effet, dès lors que le</w:t>
      </w:r>
    </w:p>
    <w:p>
      <w:r>
        <w:t>_____________________________________________________________________________________</w:t>
      </w:r>
    </w:p>
    <w:p>
      <w:r>
        <w:t>A/3863/2019 - 22/26 - processus diagnostique de troubles de ce registre se fonde généralement sur des observations médicales, et que l’existence ou l’absence de ces troubles ne peut en principe pas être confirmée de manière irréfutable par des tests paracliniques, il est particulièrement important dans le contexte d’une expertise de détailler les critères et les observations cliniques justifiant les atteintes retenues. En ce qui concerne en particulier les diagnostics, le Dr C______ a retenu une modification durable de la personnalité après une maladie psychiatrique (F 62.1). Il a évoqué dans ce cadre l’apparition de symptômes cliniques et une altération significative du fonctionnement social et professionnel. Or, il n’a pas du tout exposé la nature de ces symptômes, ni en quoi l’altération consistait. Il paraît du reste contradictoire de retenir une telle altération, alors même que l’expert considère par ailleurs que les troubles n’entraînent pas de limitation du fonctionnement au quotidien, et qu’il décrit un bon entourage social et familial. Il aurait également été nécessaire de détailler et dater « la gêne clinique et la détérioration dans les domaines social et professionnel » induite par cette atteinte, et de décrire son évolution, dès lors que l’expert exclut désormais toute incidence sur la capacité de travail de la recourante. En ce qui concerne le TDAH, le Dr C______ a ici aussi fait référence à « un ensemble de symptômes cliniques représentant plusieurs formes de désorganisation », sans non plus préciser quels étaient ces symptômes et comment ils ont évolué. Partant, son rapport, par trop vague, ne convainc pas. S’agissant du bilan neuropsychologique réalisé par Mme D______, il détaille les résultats des tests pratiqués et ses conclusions sont motivées. Cette spécialiste s’est en outre prononcée sur les divergences par rapport à l’appréciation de Mme E______, et a exposé de manière convaincante les raisons pour lesquelles elle ne s’y ralliait pas. Il faut du reste souligner ici que Mme E______ n’a pas formellement diagnostiqué un trouble du déficit d'attention avec hyperactivité (TDAH), puisqu’elle a évoqué une hypothèse. Partant, à ce stade de la procédure, il n’existe pas de motif de remettre en question les conclusions de Mme D______. Les autres rapports médicaux versés au dossier ne suffisent pas non plus à déterminer la capacité de gain de la recourante. En ce qui concerne les rapports du Dr B______, ils contiennent d’importantes contradictions quant à la capacité de travail de la recourante. Ce médecin retenait en effet une incapacité de travail totale en février 2018, tout en admettant la possibilité pour la recourante de travailler à mi-temps. Il est revenu sur cette appréciation en juin 2018, se fondant apparemment sur les informations fournies par la Dresse G______. Son évaluation de la capacité de travail ne paraît ainsi pas dictée par ses propres observations cliniques. Cela semble également ressortir de ses critiques à l’encontre de l’expert, à qui il reproche de ne pas avoir tenu compte de ce que la recourante vit au quotidien. Or, de simples plaintes subjectives ne suffisent pas à fonder un diagnostic ou à justifier une incapacité de gain si elles ne sont pas corroborées par des éléments objectivement constatés. En outre, le psychiatre traitant fait remonter l’incapacité de travail totale de la recourante à</w:t>
      </w:r>
    </w:p>
    <w:p>
      <w:r>
        <w:t>_____________________________________________________________________________________</w:t>
      </w:r>
    </w:p>
    <w:p>
      <w:r>
        <w:t>A/3863/2019 - 23/26 - 2008, soit à une période où il ne la suivait pas. Celle-ci a du reste travaillé jusqu’en 2010, ce qui tend également à infirmer l’appréciation du Dr B______. Quant au rapport de la Dresse G______ du 8 octobre 2019, il ne peut pas non plus se voir reconnaître valeur probante, dès lors qu’il ne comprend pas tous les éléments formels nécessaires. On notera en outre que son appréciation diverge de celle du Dr B______, en tant qu’elle admet un syndrome de stress post-traumatique dès 1997. Par ailleurs, la gravité des troubles rapportée par ce médecin contraste avec l’absence de suivi régulier, à tout le moins au plan psychique, jusqu’à 2012. Enfin, il faut relever que les difficultés et les arrêts de travail qu’elle relate ont en grande partie une origine somatique.</w:t>
      </w:r>
    </w:p>
    <w:p>
      <w:r>
        <w:rPr>
          <w:b/>
        </w:rPr>
        <w:t>E. 9</w:t>
      </w:r>
    </w:p>
    <w:p>
      <w:r>
        <w:t>a) 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w:t>
      </w:r>
    </w:p>
    <w:p>
      <w:r>
        <w:t>_____________________________________________________________________________________</w:t>
      </w:r>
    </w:p>
    <w:p>
      <w:r>
        <w:t>A/3863/2019 - 25/26 - b) Dans l’affirmative, considérez-vous que cela suffise à exclure une atteinte à la santé significative ?</w:t>
      </w:r>
    </w:p>
    <w:p>
      <w:r>
        <w:rPr>
          <w:b/>
        </w:rPr>
        <w:t>E. 10</w:t>
      </w:r>
    </w:p>
    <w:p>
      <w:r>
        <w:t>a) Les troubles psychiques constatés nécessitent-ils une prise en charge spécialisée ? b) Quels ont été les traitements entrepris et avec quel succès (évolution et résultats des thérapies) ? c) Pour le cas où il y aurait refus ou mauvaise acceptation d’une thérapie recommandée et accessible : cette attitude doit-elle être attribuée à une incapacité de la recourante à reconnaître sa maladie ? d) La recourante a-t-elle fait preuve de résistance à l’égard des traitements proposés ? La compliance est-elle bonne ? e) Dans quelle mesure les traitements ont-ils été mis à profit ou négligés ?</w:t>
      </w:r>
    </w:p>
    <w:p>
      <w:r>
        <w:rPr>
          <w:b/>
        </w:rPr>
        <w:t>E. 11</w:t>
      </w:r>
    </w:p>
    <w:p>
      <w:r>
        <w:t>Les limitations du niveau d’activité sont-elles uniformes dans tous les domaines (professionnel mais aussi personnel) ? Quel est le niveau d’activité sociale et comment a-t-il évolué depuis la survenance de l’atteinte à la santé ?</w:t>
      </w:r>
    </w:p>
    <w:p>
      <w:r>
        <w:rPr>
          <w:b/>
        </w:rPr>
        <w:t>E. 12</w:t>
      </w:r>
    </w:p>
    <w:p>
      <w:r>
        <w:t>a) Existe-t-il un trouble de la personnalité ou une altération des capacités inhérentes à la personnalité ? Quelles sont ses répercussions fonctionnelles (conscience de soi et de l’autre, appréhension de la réalité et formation du jugement, contrôle des affects et des impulsions, intentionnalité, motivation, notamment) sur la capacité à gérer le quotidien, à travailler et/ou en termes d’adaptation ? Motivez votre position. b) De quelles ressources mobilisables la recourante dispose-t-elle ? c) Quel est le contexte social ? La recourante peut-elle compter sur le soutien de ses proches ? d) Dans l’ensemble, le comportement de la recourante vous semble-t-il cohérent ? Pourquoi ?</w:t>
      </w:r>
    </w:p>
    <w:p>
      <w:r>
        <w:rPr>
          <w:b/>
        </w:rPr>
        <w:t>E. 13</w:t>
      </w:r>
    </w:p>
    <w:p>
      <w:r>
        <w:t>Mentionner, pour chaque diagnostic posé, les limitations fonctionnelles qu’il entraîne, a) dans l’activité habituelle, b) dans une activité adaptée.</w:t>
      </w:r>
    </w:p>
    <w:p>
      <w:r>
        <w:rPr>
          <w:b/>
        </w:rPr>
        <w:t>E. 14</w:t>
      </w:r>
    </w:p>
    <w:p>
      <w:r>
        <w:t>Mentionner globalement les conséquences des divers diagnostics retenus sur la capacité de travail de la recourante, en pourcent, a) dans l’activité habituelle, b) dans une activité adaptée.</w:t>
      </w:r>
    </w:p>
    <w:p>
      <w:r>
        <w:rPr>
          <w:b/>
        </w:rPr>
        <w:t>E. 15</w:t>
      </w:r>
    </w:p>
    <w:p>
      <w:r>
        <w:t>Indiquer la diminution du rendement fonctionnel dans l'accomplissement des travaux habituels.</w:t>
      </w:r>
    </w:p>
    <w:p>
      <w:r>
        <w:rPr>
          <w:b/>
        </w:rPr>
        <w:t>E. 16</w:t>
      </w:r>
    </w:p>
    <w:p>
      <w:r>
        <w:t>Dater la survenance de l’incapacité de travail durable, le cas échéant, indiquer l'évolution de son taux et décrire son évolution.</w:t>
      </w:r>
    </w:p>
    <w:p>
      <w:r>
        <w:rPr>
          <w:b/>
        </w:rPr>
        <w:t>E. 17</w:t>
      </w:r>
    </w:p>
    <w:p>
      <w:r>
        <w:t>Évaluer l'exigibilité, en pourcent, d'une activité lucrative adaptée, indiquer depuis quand une telle activité est exigible et quel est le domaine d'activité adapté.</w:t>
      </w:r>
    </w:p>
    <w:p>
      <w:r>
        <w:rPr>
          <w:b/>
        </w:rPr>
        <w:t>E. 18</w:t>
      </w:r>
    </w:p>
    <w:p>
      <w:r>
        <w:t>Dire s'il y a une diminution de rendement et la chiffrer.</w:t>
      </w:r>
    </w:p>
    <w:p>
      <w:r>
        <w:t>_____________________________________________________________________________________</w:t>
      </w:r>
    </w:p>
    <w:p>
      <w:r>
        <w:t>A/3863/2019 - 26/26 -</w:t>
      </w:r>
    </w:p>
    <w:p>
      <w:r>
        <w:rPr>
          <w:b/>
        </w:rPr>
        <w:t>E. 19</w:t>
      </w:r>
    </w:p>
    <w:p>
      <w:r>
        <w:t>Évaluer la possibilité d'améliorer la capacité de travail par des mesures médicales. Indiquer quelles seraient les propositions thérapeutiques et leur influence sur la capacité de travail.</w:t>
      </w:r>
    </w:p>
    <w:p>
      <w:r>
        <w:rPr>
          <w:b/>
        </w:rPr>
        <w:t>E. 20</w:t>
      </w:r>
    </w:p>
    <w:p>
      <w:r>
        <w:t>Commenter et discuter les avis médicaux du SMR, des experts s’étant déjà prononcés et des médecins traitants et indiquer - cas échéant - pour quelles raisons ces avis sont confirmés ou écartés.</w:t>
      </w:r>
    </w:p>
    <w:p>
      <w:r>
        <w:rPr>
          <w:b/>
        </w:rPr>
        <w:t>E. 21</w:t>
      </w:r>
    </w:p>
    <w:p>
      <w:r>
        <w:t>Formuler un pronostic global. Indiquer si des mesures de réadaptation professionnelle sont envisageables.</w:t>
      </w:r>
    </w:p>
    <w:p>
      <w:r>
        <w:rPr>
          <w:b/>
        </w:rPr>
        <w:t>E. 22</w:t>
      </w:r>
    </w:p>
    <w:p>
      <w:r>
        <w:t>Faire toute remarque utile. E. Invite l’expert à déposer à sa meilleure convenance un rapport en trois exemplaires à la chambre de céans.</w:t>
      </w:r>
    </w:p>
    <w:p>
      <w:r>
        <w:t>La greffière</w:t>
      </w:r>
    </w:p>
    <w:p>
      <w:r>
        <w:t>Julia BARRY</w:t>
      </w:r>
    </w:p>
    <w:p>
      <w:r>
        <w:t>La présidente</w:t>
      </w:r>
    </w:p>
    <w:p>
      <w:r>
        <w:t>Valérie MONTANI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