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ATAS/403/2019 vom 9. Mai 2019</w:t>
      </w:r>
    </w:p>
    <w:p>
      <w:r>
        <w:t>GE Cour de justice, 2019-05-09, FR</w:t>
      </w:r>
    </w:p>
    <w:p>
      <w:r>
        <w:rPr>
          <w:b/>
        </w:rPr>
        <w:t xml:space="preserve">Quelle: </w:t>
      </w:r>
      <w:r>
        <w:t>https://mcp.opencaselaw.ch/entscheid/ge_gerichte_ATAS_403_2019</w:t>
      </w:r>
    </w:p>
    <w:p>
      <w:r>
        <w:t>FR: GE_GERICHTE ATAS/403/2019 du 9 mai 2019</w:t>
      </w:r>
    </w:p>
    <w:p>
      <w:r>
        <w:t>IT: GE_GERICHTE ATAS/403/2019 del 9 maggio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A/336/2019 - 4/8 -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en l’occurrence la question de savoir si la recourante est tenue de restituer la somme de CHF 10'281.- à titre de prestations complémentaires fédérales indûment perçues entre le 1er juillet 2012 et le 31 octobre 2018.</w:t>
      </w:r>
    </w:p>
    <w:p>
      <w:r>
        <w:rPr>
          <w:b/>
        </w:rPr>
        <w:t>E. 4</w:t>
      </w:r>
    </w:p>
    <w:p>
      <w:r>
        <w:t>En vertu de l'art. 9 al. 1 LPC, le montant de la prestation complémentaire annuelle correspond à la part des dépenses reconnues qui excède les revenus déterminants. L'art. 10 LPC définit les dépenses reconnues, lesquelles comprennent notamment le loyer d’un appartement et les frais accessoires y relatifs. Pour une personne seule, le montant maximal reconnu à ce titre s’élève à CHF 13'200.- par an (al. 1 let. b chiffre 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il est établi par l’avis de modification de loyer communiqué le 16 mai 2012 à la recourante que son loyer a été baissé de CHF 10'356.- à CHF 8'748.- avec effet au 1er juillet 2012. Toutefois, l’intimé a continué à calculer les prestations complémentaires sur la base de l’ancien loyer annuel, ce qui n’est pas contesté. La recourante ne conteste au demeurant pas avoir bénéficié d’une seconde baisse de loyer de CHF 8'748.- à CHF 8712.- dès le 1er août 2014. Partant, il est établi que la recourante a reçu indûment des prestations complémentaires d’un montant de CHF 10'281.- durant la période litigieuse, dès lors que l’intimé les avait calculées sur la base d’un loyer de CHF 10'356.-.</w:t>
      </w:r>
    </w:p>
    <w:p>
      <w:r>
        <w:rPr>
          <w:b/>
        </w:rPr>
        <w:t>E. 7</w:t>
      </w:r>
    </w:p>
    <w:p>
      <w:r>
        <w:t>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w:t>
      </w:r>
    </w:p>
    <w:p>
      <w:r>
        <w:t>A/336/2019 - 5/8 -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En l’espèce, la découverte des baisses de loyer dont a bénéficié la recourante à partir de 2012, constitue assurément un fait nouveau permettant la révision des décisions de prestations antérieures.</w:t>
      </w:r>
    </w:p>
    <w:p>
      <w:r>
        <w:rPr>
          <w:b/>
        </w:rPr>
        <w:t>E. 8</w:t>
      </w:r>
    </w:p>
    <w:p>
      <w:r>
        <w:t>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w:t>
      </w:r>
    </w:p>
    <w:p>
      <w:r>
        <w:t>A/336/2019 - 6/8 -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b. En l’espèce, la recourante allègue avoir transmis l’avis de modification de loyer du 16 mai 2012 à l’intimé bien avant la procédure de révision périodique de son dossier entamée en 2018. De ce fait, elle estime que le délai de péremption d’une année n’est pas respecté. Toutefois, la recourante n’a produit aucune preuve à l’appui de ses dires. Par ailleurs, il n’y a aucune trace dans le dossier de cet avis de modification de loyer alors même que ce dossier contient trois avis d’augmentation de loyer. Cela étant, il convient de constater que l’intimé n’a appris qu’en 2018 la baisse du loyer avec effet au 1er juillet 2012, ainsi que celle valable dès le 1er août 2014. Partant, sa décision de restitution de la somme de CHF 10'281.- du 10 octobre 2018 respecte le délai de péremption d’une année.</w:t>
      </w:r>
    </w:p>
    <w:p>
      <w:r>
        <w:rPr>
          <w:b/>
        </w:rPr>
        <w:t>E. 9</w:t>
      </w:r>
    </w:p>
    <w:p>
      <w:r>
        <w:t>Se pose encore la question de savoir si l’intimé est en droit d’exiger la restitution des prestations pour une durée supérieure à cinq ans, ce qui suppose que la recourante ait commis une infraction pénale prévoyant un délai de prescription plus long. a. Pour que le délai de prescription plus long prévu par le droit pénal s'applique, il n'est pas nécessaire que l'auteur de l'infraction ait été condamné (cf. ATF 118 V 193 consid. 4a; 113 V 256 consid. 4a; voir également ATF 122 III 225 consid. 4). La prescription court dès le jour où le délinquant a exercé son activité coupable et, si cette activité s'est exercée à plusieurs reprises, du jour du dernier acte (art. 98 let. a et b CP). En cas de délit d'omission improprement dit, la prescription commence à courir avec le moment où le garant aurait dû agir ou, si ce devoir est durable, à partir du moment où les obligations du garant prennent fin (ATF 122 IV 61 consid. 2a/aa). À titre d’infractions permettant l’application d’un délai de péremption plus long, entrent en considération en matière de prestations complémentaires essentiellement le manquement à l’obligation de communiquer (art. 31 LPC) et l’escroquerie (art. 146 CP). b. L'art. 31 al. 1 LPC prévoit qu'est puni d'une peine pécuniaire n'excédant pas 180 jours-amendes celui qui, par des indications fausses ou incomplètes, ou de toute autre manière, obtient d’un canton ou d’une institution d’utilité publique, pour lui- même ou pour autrui, l’octroi indu d’une prestation au sens de la LPC (let. a), ainsi que celui qui manque à son obligation de communiquer au sens de l'art. 31 al. 1 LPGA (let. b, entré en vigueur le 1er janvier 2008). L'art. 31 LPGA prescrit que l’ayant droit, ses proches ou les tiers auxquels une prestation est versée sont tenus de communiquer à l’assureur ou, selon le cas, à</w:t>
      </w:r>
    </w:p>
    <w:p>
      <w:r>
        <w:t>A/336/2019 - 7/8 -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(OPC-AVS/AI - RS 831.301) impose également à l’ayant droit de communiquer sans retard à l’organe cantonal compétent tout changement dans la situation personnelle et toute modification sensible dans la situation matérielle susceptibles d’influencer le droit aux prestations. c. Selon l'art. 97 al. 1 CP, l'action pénale se prescrit par 30 ans si l'infraction est passible d'une peine privative de liberté à vie, par 15 ans si elle est passible d'une peine privative de liberté de plus de trois ans, et de sept ans si elle est passible d'une autre peine. Ainsi, le délai de prescription de l'action pénale pour une infraction telle que décrite à l'art. 31 LPC est de sept ans.</w:t>
      </w:r>
    </w:p>
    <w:p>
      <w:r>
        <w:rPr>
          <w:b/>
        </w:rPr>
        <w:t>E. 10</w:t>
      </w:r>
    </w:p>
    <w:p>
      <w:r>
        <w:t>En l’occurrence, la recourante n’a pas satisfait à l’obligation d’annoncer la diminution de son loyer à partir du 1er juillet 2012. Ce faisant, elle s’est rendue coupable de l’infraction réprimée à l’art. 31 LPC. Cette infraction se prescrivant dans un délai de sept ans, la demande de restitution des prestations à compter du 1er juillet 2012, par décision du 10 octobre 2018, respecte le délai de péremption légal. Ainsi, la demande de restitution n’est pas périmée, si bien que la recourante est tenue de restituer la somme de CHF 10'281.-.</w:t>
      </w:r>
    </w:p>
    <w:p>
      <w:r>
        <w:rPr>
          <w:b/>
        </w:rPr>
        <w:t>E. 11</w:t>
      </w:r>
    </w:p>
    <w:p>
      <w:r>
        <w:t>Au vu de ce qui précède, le recours sera rejeté.</w:t>
      </w:r>
    </w:p>
    <w:p>
      <w:r>
        <w:rPr>
          <w:b/>
        </w:rPr>
        <w:t>E. 12</w:t>
      </w:r>
    </w:p>
    <w:p>
      <w:r>
        <w:t>La procédure est gratuite.</w:t>
      </w:r>
    </w:p>
    <w:p>
      <w:r>
        <w:t>***</w:t>
      </w:r>
    </w:p>
    <w:p>
      <w:r>
        <w:t>A/336/2019 - 8/8 -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