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ATAS/402/2020 vom 25. Mai 2020</w:t>
      </w:r>
    </w:p>
    <w:p>
      <w:r>
        <w:t>GE Cour de justice, 2020-05-25, FR</w:t>
      </w:r>
    </w:p>
    <w:p>
      <w:r>
        <w:rPr>
          <w:b/>
        </w:rPr>
        <w:t xml:space="preserve">Quelle: </w:t>
      </w:r>
      <w:r>
        <w:t>https://mcp.opencaselaw.ch/entscheid/ge_gerichte_ATAS_402_2020</w:t>
      </w:r>
    </w:p>
    <w:p>
      <w:r>
        <w:t>FR: GE_GERICHTE ATAS/402/2020 du 25 mai 2020</w:t>
      </w:r>
    </w:p>
    <w:p>
      <w:r>
        <w:t>IT: GE_GERICHTE ATAS/402/2020 del 25 maggio 2020</w:t>
      </w:r>
    </w:p>
    <w:p>
      <w:pPr>
        <w:pStyle w:val="Heading2"/>
      </w:pPr>
      <w:r>
        <w:t>Erwägungen</w:t>
      </w:r>
    </w:p>
    <w:p>
      <w:r>
        <w:rPr>
          <w:b/>
        </w:rPr>
        <w:t>E. 26</w:t>
      </w:r>
    </w:p>
    <w:p>
      <w:r>
        <w:t>janvier 2012 consid. 3).</w:t>
      </w:r>
    </w:p>
    <w:p>
      <w:r>
        <w:t>A/1188/2019 - 17/22 - 10)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11)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w:t>
      </w:r>
    </w:p>
    <w:p>
      <w:r>
        <w:t>A/1188/2019 - 18/22 -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12) En l’occurrence, l’intimé s’est fondé, pour rendre la décision litigieuse, sur l’expertise du CEMEDEX du 10 janvier 2018. Or, le volet gynécologique de cette expertise n’est pas probant. L’expert gynécologue P______ a tout d’abord considéré que le fait que la recourante ait éprouvé la période gravidique comme extrêmement douloureuse montrait à quel point l’état psychique étant impliqué, la grossesse étant, selon lui, le meilleur traitement de l’endométriose. Cette constatation a toutefois été clairement contredite par le gynécologue traitant (avis du Dr G______ du 17 juin 2019). L’expert relève ensuite que, malgré l’arrêt des traitements morphiniques, les douleurs ont persisté (expertise CEMEDEX p. 27), ce qui est illogique et contradictoire avec le constat, figurant dans les conclusions de l’expertise, qu’une amélioration des douleurs pelviennes pouvait être déduite de la disparition de la dépendance aux opiacés (expertise CEMEDEX p. 28). A cet égard, ce constat est lui-même contredit par l’explication du Dr P______, selon lequel les traitements médicamenteux, notamment morphinique, ont été arrêtés en raison d’effets secondaires au niveau intestinal et hépatique (expertise CEMEDEX p. 27). L’expert affirme encore que l’endométriose ayant été prise en charge correctement, il n’y a pas d’impact sur la capacité de travail. Or, cette déduction, non étayée n’est pas convaincante dès lors que, dans le même-temps, les conclusions de l’expertise reconnaissent les douleurs pelviennes dont se plaint la recourante ainsi que leur caractère incapacitant (expertise CEMEDEX p. 28). Par ailleurs, l’avis du gynécologue traitant, le Dr G______, qui a suivi la recourante, est contraire à celui de l’expert P______, notamment s’agissant de la capacité de travail de la recourante, qu’il estime nulle (rapport des 13 juin 2017 et 17 juin 2019). Dans ces conditions, on ne saurait reconnaitre au volet gynécologique de l’expertise du CEMEDEX une valeur probante et il se justifie d’ordonner une expertise gynécologique ; en l’état, l’examen des pathologies psychiatrique et rhumatologique est réservé.</w:t>
      </w:r>
    </w:p>
    <w:p>
      <w:r>
        <w:t>A/1188/2019 - 19/22 - 13) L’intimé conteste le choix du Dr C______, en relevant que celui-ci est intervenu dans le suivi médical de la recourante. Certes, la jurisprudence considère qu'en cas de litige, il ne convient pas de confier une expertise à un médecin traitant, étant donné le conflit qui peut résulter de son rôle à la fois de fournisseur de soins, d'une part, et d'expert, d'autre part. Le simple fait qu'un médecin a déjà eu l'occasion d'examiner une personne ne l'empêche cependant pas d'emblée de se voir confier plus tard une expertise. Il n'y a pas non plus de prévention inadmissible lorsque l'expert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(ATF 127 I 196 consid. 2b p. 198 s.; arrêt 8C_160/2009 du 23 décembre 2009 consid. 3.2.2; arrêt du Tribunal fédéral des assurances I 29/04 du 17 août 2004 consid. 2.2 et les références ; arrêt du Tribunal fédéral 9C 733/2017 du 16 mars 2018). En l'espèce, il n'existe aucune circonstance donnant l'apparence objective de la prévention du Dr C______ et faisant redouter une activité partiale de sa part, ce d’autant que le Dr C______ n’est pas intervenu comme médecin traitant de la recourante mais comme médecin chef de service, au côté d’une médecin interne des HUG, dans le cadre d’une courte hospitalisation de la recourante, il y a 13 ans (en 2007) et pour une problématique différente de celle qui est l’objet du présent litige, soit des saignements dans le cadre de la grossesse de la recourante. Partant, il ne sera pas donné suite à la demande de récusation du Dr C______. Enfin, la mission d’expertise sera complétée dans le sens requis par la recourante (questions 4.2.2 et 8.1.2).</w:t>
      </w:r>
    </w:p>
    <w:p>
      <w:r>
        <w:t>A/1188/2019 - 20/22 - PAR CES MOTIFS, LA CHAMBRE DES ASSURANCES SOCIALES : Préparatoirement : I. Ordonne une expertise médicale gynécologique. La confie au docteur C______, FMH gynécologie et obstétrique.</w:t>
      </w:r>
    </w:p>
    <w:p>
      <w:r>
        <w:t>Dit que la mission d’expertise sera la suivante : A. Prendre connaissance du dossier de la cause B. Si nécessaire prendre tous renseignements auprès des médecins ayant traité la personne expertisée, notamment le Dr G______. C. Examiner la personne expertisée et, si nécessaire, ordonner d'autres examens. D. Etablir un rapport comprenant les éléments et les réponses aux questions suivants : 1. Anamnèse détaillée 2. Plaintes de la personne expertisée 3. Status et constatations objectives 4. Diagnostics 4.1 Avec répercussion sur la capacité de travail (en mentionnant les dates d'apparition) 4.2 Sans répercussion sur la capacité de travail (en mentionnant les dates d'apparition) 4.2.1 La personne expertisée présente-t-elle une endométriose ? un vaginisme ? 4.2.2 Les maladies auto-immunes développées ont-elles un lien avec l’endométriose ? 4.3 Les atteintes et les plaintes de la personne expertisée correspondent- elles à un substrat organique objectivable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4.5 Y a-t-il exagération des symptômes ou constellation semblable (discordance substantielle entre les douleurs décrites et le comportement observé ou l’anamnèse, allégation d'intenses douleurs</w:t>
      </w:r>
    </w:p>
    <w:p>
      <w:r>
        <w:t>A/1188/2019 - 21/22 - dont les caractéristiques demeurent vagues, absence de demande de soins médicaux, plaintes très démonstratives laissant insensible l'expert, allégation de lourds handicaps malgré un environnement psychosocial intact) ? 4.5.1 Dans l’affirmative, considérez-vous que cela suffise à exclure une atteinte à la santé significative ? 5. Limitations fonctionnelles Indiquer les limitations fonctionnelles en relation avec chaque diagnostic (en mentionnant leur date d’apparition) : 5.1 dans l’activité habituelle 5.2 dans une activité adaptée 6. Capacité de travail 6.1 Dater la survenance de l’incapacité de travail durable pour chaque diagnostic, indiquer son taux pour chaque diagnostic et détailler l’évolution de ce taux pour chaque diagnostic. 6.2 Quelle est la capacité de travail de la personne expertisée dans son activité habituelle ? 6.3 Quelle est la capacité de travail de la personne expertisée dans une activité adaptée ? 6.3.1 Indiquer depuis quand une telle activité adaptée est exigible et quel est le domaine d'activité adapté. 6.3.2 En particulier la personne expertisée était-elle capable de travailler à 50 % depuis le 1er janvier 2015 et à 100 % depuis le 1er novembre 2017 ? Si non pourquoi ? 6.4 Dire s'il y a une diminution de rendement et la chiffrer. 7. Traitement 7.1 Examen du traitement suivi par la personne expertisée et analyse de son adéquation. 7.2 La personne expertisée a-t-elle fait preuve de résistance à l’égard des traitements proposés ? La compliance est-elle bonne ? 7.3 Dans quelle mesure les traitements ont-ils été mis à profit ou négligés ? 7.4 Propositions thérapeutiques et analyse de leurs effets sur la capacité de travail de la personne expertisée. 8. Appréciation d'avis médicaux du dossier</w:t>
      </w:r>
    </w:p>
    <w:p>
      <w:r>
        <w:t>A/1188/2019 - 22/22 - 8.1 Êtes-vous d'accord avec les avis médicaux du SMR, des experts s’étant déjà prononcés et des médecins traitants ? En particulier avec les diagnostics posés et l'estimation de la capacité de travail de la personne expertisée? Si non, pourquoi ? 8.1.2 En particulier, être-vous d’accord avec l’avis du Dr P______ (expertise CEMEDEX du 10 janvier 2018 p. 27) ? Soit :</w:t>
      </w:r>
    </w:p>
    <w:p>
      <w:r>
        <w:t>- avec le fait qu’une grossesse est le meilleur traitement de l’endométriose ?</w:t>
      </w:r>
    </w:p>
    <w:p>
      <w:r>
        <w:t>- avec le fait que l’état de santé de la personne expertisée ne s’étant pas amélioré durant sa grossesse, cela implique une composante psychique ?</w:t>
      </w:r>
    </w:p>
    <w:p>
      <w:r>
        <w:t>- avec le fait que l’endométriose, prise en charge correctement, n’entraine aucune incapacité de travail ? 9. Quel est le pronostic ? 10. Des mesures de réadaptation professionnelle sont-elles envisageables ? 11.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