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ATAS/402/2018 vom 14. Mai 2018</w:t>
      </w:r>
    </w:p>
    <w:p>
      <w:r>
        <w:t>GE Cour de justice, 2018-05-14, FR</w:t>
      </w:r>
    </w:p>
    <w:p>
      <w:r>
        <w:rPr>
          <w:b/>
        </w:rPr>
        <w:t xml:space="preserve">Quelle: </w:t>
      </w:r>
      <w:r>
        <w:t>https://mcp.opencaselaw.ch/entscheid/ge_gerichte_ATAS_402_2018</w:t>
      </w:r>
    </w:p>
    <w:p>
      <w:r>
        <w:t>FR: GE_GERICHTE ATAS/402/2018 du 14 mai 2018</w:t>
      </w:r>
    </w:p>
    <w:p>
      <w:r>
        <w:t>IT: GE_GERICHTE ATAS/402/2018 del 14 maggio 2018</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w:t>
      </w:r>
    </w:p>
    <w:p>
      <w:r>
        <w:t>- 11/14-</w:t>
      </w:r>
    </w:p>
    <w:p>
      <w:r>
        <w:t>A/3763/2017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3</w:t>
      </w:r>
    </w:p>
    <w:p>
      <w:r>
        <w:t>En l’occurrence, la recourante a fait l’objet d’une expertise en août 2011 au CEMed, laquelle a conclu à une capacité de travail limitée à 50 % dans une activité adaptée. Par la suite, l’état de santé de la recourante s’est aggravé, comme cela ressort des multiples rapports du Dr D______ dès 2012, selon lesquels la capacité de travail est nulle. Par ailleurs, une polysomnographie réalisée en mai 2012 met en évidence un sommeil déstructuré sans sommeil lent profond et avec une nette diminution du sommeil paradoxal, tout en excluant un syndrome d’apnées/hypopnées obstructives. En outre, les scores des tests de Beck pour la dépression et de Spielberger pour l’anxiété sont très élevés. Une orientation professionnelle organisée par l’intimé fin 2014/début 2015 échoue. Dans son rapport du 20 mars 2015, Pro relève un taux d’absentéisme important pour 2015 et que la recourante éprouve de nombreuses difficultés consistant en perte de concentration, port de charges peu lourdes, grande variabilité du rythme de travail, fatigue visible, rapport relationnel tendu et parfois difficile. Selon cette entreprise, la recourante ne peut travailler dans l’économie traditionnelle et les chances de succès d’une réadaptation sont faibles. Au demeurant, la recourante a fait des efforts pendant ce stage, comme c’est relevé dans le rapport du 27 avril 2015 de Pro. A l’étude du dossier, il appert que l’intimé n’a jamais pris en considération l’aggravation de l’état de santé de la recourante après l’expertise du CEMed. Le SMR ne s’est notamment pas prononcé sur cette aggravation annoncée par le Dr D______. Seule une mesure d’orientation professionnelle est mise en place, laquelle se solde toutefois par un échec. Néanmoins, le SMR fait état de façon</w:t>
      </w:r>
    </w:p>
    <w:p>
      <w:r>
        <w:t>- 12/14-</w:t>
      </w:r>
    </w:p>
    <w:p>
      <w:r>
        <w:t>A/3763/2017 surprenante, dans son avis médical du 13 août 2015, qu’il n’y a aucune information médicale nouvelle et, dans son avis du 6 février 2017, que le Dr D______ ne mentionne aucune dégradation de l'état psychique. Il est également à rappeler que lorsque l’appréciation des organes d’observation professionnelle diverge sensiblement de l’appréciation médicale, il est nécessaire de confronter les deux évaluations et, au besoin, de requérir un complément d’instruction (SVR 2011 IV n° 6 p. 17). En l’occurrence, l’intimé a omis de le faire, alors même que Pro considère que la capacité de travail est nulle et les experts du CEMed qu'elle est de 50%. Enfin, l’expertise du CEMed avait déjà six ans au moment où l’intimé a pris sa décision, si bien qu’il s’agit d’un document médical ancien qu'il faut mettre à jour. Cela étant, il appert nécessaire de mettre en œuvre une expertise psychiatrique judiciaire.</w:t>
      </w:r>
    </w:p>
    <w:p>
      <w:r>
        <w:rPr>
          <w:b/>
        </w:rPr>
        <w:t>E. 4</w:t>
      </w:r>
    </w:p>
    <w:p>
      <w:r>
        <w:t>En ce qui concerne le choix des experts, la recourante s’oppose au choix du Prof. I______ et de Mme J______, au motif que ces personnes ne disposent pas d’une spécialité en addictologie. Toutefois, en l’espèce, aucun médecin n’a retenu que la recourante ne serait pas capable de travailler à cause de ses problèmes de dépendance à des substances toxiques. Ainsi, le Dr D______ retient, dans son rapport du 27 mai 2009, que la dépendance aux opiacés et à l’alcool est sans effet sur la capacité de travail. Les experts du CEMed en font de même. L'addiction de la recourante n'étant pas au premier plan, la chambre de céans ne voit aucune raison de ne pas confier le mandat d'expertise au Prof. I______ et à Mme J______.</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