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ATAS/402/2015 vom 4. Juni 2015</w:t>
      </w:r>
    </w:p>
    <w:p>
      <w:r>
        <w:t>GE Cour de justice, 2015-06-04, FR</w:t>
      </w:r>
    </w:p>
    <w:p>
      <w:r>
        <w:rPr>
          <w:b/>
        </w:rPr>
        <w:t xml:space="preserve">Quelle: </w:t>
      </w:r>
      <w:r>
        <w:t>https://mcp.opencaselaw.ch/entscheid/ge_gerichte_ATAS_402_2015</w:t>
      </w:r>
    </w:p>
    <w:p>
      <w:r>
        <w:t>FR: GE_GERICHTE ATAS/402/2015 du 4 juin 2015</w:t>
      </w:r>
    </w:p>
    <w:p>
      <w:r>
        <w:t>IT: GE_GERICHTE ATAS/402/2015 del 4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En dérogation aux art. 52 et 58 LPGA, les décisions des offices AI cantonaux peuvent directement faire l’objet d’un recours devant le tribunal des assurances du domicile de l’office concerné. La compétence de la Cour de céans pour juger du cas d'espèce est ainsi établie.</w:t>
      </w:r>
    </w:p>
    <w:p>
      <w:r>
        <w:rPr>
          <w:b/>
        </w:rPr>
        <w:t>E. 2</w:t>
      </w:r>
    </w:p>
    <w:p>
      <w:r>
        <w:t>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Par ailleurs, la loi fédérale du 16 décembre 2005 modifiant la LAI entrée en vigueur le 1er juillet 2006 (RO 2006 2003) a apporté des modifications, notamment en matière de procédure (art. 52, 58 et 61 let. a LPGA).</w:t>
      </w:r>
    </w:p>
    <w:p>
      <w:r>
        <w:rPr>
          <w:b/>
        </w:rPr>
        <w:t>E. 3</w:t>
      </w:r>
    </w:p>
    <w:p>
      <w:r>
        <w:t>Interjeté dans les forme et délai légaux (art. 56 à 60 LPGA), le recours est recevable.</w:t>
      </w:r>
    </w:p>
    <w:p>
      <w:r>
        <w:rPr>
          <w:b/>
        </w:rPr>
        <w:t>E. 4</w:t>
      </w:r>
    </w:p>
    <w:p>
      <w:r>
        <w:t>Est litigieuse en l’espèce la question de savoir si les atteintes à la santé de la recourante doivent être considérées comme invalidantes et susceptibles d’entraîner une perte de gain suffisante pour lui ouvrir droit à des prestations de l’assurance- 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w:t>
      </w:r>
    </w:p>
    <w:p>
      <w:r>
        <w:t>A/507/2014 - 10/16 -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w:t>
      </w:r>
    </w:p>
    <w:p>
      <w:r>
        <w:t>A/507/2014 - 11/16 -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w:t>
      </w:r>
    </w:p>
    <w:p>
      <w:r>
        <w:t>A/507/2014 - 12/16 -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La recourante fait grief à l'administration d'avoir fondé son appréciation de la capacité de travail sur le rapport du Dr F______, dont elle considère qu’il ne saurait se voir reconnaitre pleine valeur probante.</w:t>
      </w:r>
    </w:p>
    <w:p>
      <w:r>
        <w:rPr>
          <w:b/>
        </w:rPr>
        <w:t>E. 10</w:t>
      </w:r>
    </w:p>
    <w:p>
      <w:r>
        <w:t>En premier lieu, la recourante fait valoir que la décision litigieuse s’appuie exclusivement sur l’appréciation d’un médecin interne à l’assureur social, le Dr F______, auquel elle reproche une anamnèse incomplète et des erreurs manifestes. Elle relève que l’expert a reconnu de lui-même que l’anamnèse avait été difficile à établir et en tire la conclusion qu’un examen d’une heure et trente minutes serait insuffisant, eu égard, notamment, aux contradictions relevées par l’expert entre les informations données par elle et celles ressortant de son dossier. Elle considère que l’expert aurait dû la revoir, afin de faire une anamnèse correcte et complète, ce qui lui aurait évité d’indiquer qu’elle a émigré en Suisse en 1977 alors qu’elle est née en 1980. C’est le lieu de rappeler qu’en vertu d’une jurisprudence récente,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En l’occurrence, cependant, cette jurisprudence n’est pas applicable dans la mesure où le Dr F______ ne saurait être assimilé à un « médecin interne à l’assureur social » tel qu’un praticien du SMR, par exemple. Reste à examiner la valeur probante à reconnaître à l’expertise du Dr F______. A cet égard, on relèvera qu’une évaluation médicale complète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(cf. notamment arrêt 9C_631/2012 du 9 novembre 2012 consid. 3). Or, tel n’est pas le cas en l’occurrence. Tout d’abord, les griefs formulés par la recourante quant à la précision de l’anamnèse tombent à faux. Si l’expert a effectivement indiqué avoir rencontré des difficultés, il a néanmoins pris toutes les mesures pour les surmonter en faisant préciser certains points ultérieurement par l’assurée ou ses médecins traitants, de</w:t>
      </w:r>
    </w:p>
    <w:p>
      <w:r>
        <w:t>A/507/2014 - 13/16 - manière, en définitive, à pouvoir acquérir la certitude qu’il avait « obtenu suffisamment d’informations pour répondre aux questions qui lui étaient posées avec un bon degré de sécurité ». Quant à l’entrée en Suisse de l’assurée, elle consiste manifestement en une erreur de frappe (1977 au lieu de 1997), insuffisante pour remettre en cause la valeur de l’expertise. De même, la durée de l’entretien n’est pas un critère reconnu par la jurisprudence comme ayant une influence déterminante sur la qualité et la valeur probante d’un rapport d’expertise, pas plus le fait que l’expert n’ait vu l’assurée qu’à une seule occasion. En effet, le rôle de l’expert consiste notamment à se faire une idée sur l'état de santé d'un assuré dans un délai relativement bref (ATF 125 V 351 consid. 3a; ATF non publié I 1084/06 du 26 novembre 2007 consid. 4). La recourante reproche également à l’expert d’avoir émis des jugements de valeur (il aurait émis l’opinion que les mariages arrangés ne constituent pas une maltraitance) et de s’être exprimé sur ses attentes professionnelles. Or, la recourante déforme les propos de l’expert. Celui-ci a simplement indiqué qu’ « on ne peut pas d’emblée considérer les mariages arrangés comme une maltraitance ». Il n’a en aucun cas minimisé la situation de l’assurée, au contraire, puisqu’à plusieurs reprises, il s’est dit admiratif de sa résilience face aux situations qu’elle avait dû affronter. De même, à aucun moment l’expert ne s’est déterminé quant au statut à reconnaître à l’assurée. Il a simplement relaté que celle-ci avait admis qu’elle aurait eu du mal à travailler à plein temps après la naissance de ses enfants, propos que l’assurée ne conteste pas avoir tenus. Ces griefs se révèlent dès lors également infondés. La recourante allègue que l’expert se serait contredit en n’admettant qu’un seul critère permettant de conclure à une dépression alors même qu’il en aurait mentionné d’autres dans son rapport. Là encore, la recourante se fourvoie. Ainsi que le relève l’intimé, les autres critères mentionnés par l’expert ont été énoncés dans la partie consacrée aux plaintes subjectives de la patiente, plaintes qu’il n’a pu objectivement constater par son examen. On ne saurait non plus tirer argument du fait que l’expert n’a pas recouru aux tests psychométriques. Tout d’abord parce que l’expert jouit d’une large autonomie dans la manière de conduire son expertise - s'agissant notamment des modalités de l'examen clinique et du choix des examens complémentaires à effectuer, de sorte que le juge doit faire preuve, en règle générale, de retenue avant de remettre en cause la méthodologie utilisée, ce d'autant qu'il convient de tenir compte également des difficultés et des incertitudes propres à tout examen psychiatrique (cf. arrêts 9C_661/2009 du 29 septembre 2009 consid. 3.2 et 9C_447/2009 du 15 juillet 2009). Ensuite parce que l’expert a en l’occurrence pris la peine d’expliquer les raisons qui le conduisaient à renoncer à ces tests, dont il a par ailleurs rappelé qu’ils n’avaient pas valeur de critères diagnostiques.</w:t>
      </w:r>
    </w:p>
    <w:p>
      <w:r>
        <w:t>A/507/2014 - 14/16 - Quoi qu’il en soit, on relèvera que le Dr C______, qui avait appliqué de tels tests, n’en a tiré aucun élément susceptible de démontrer l’existence d’une atteinte incapacitante durable, au contraire. Contrairement à ce que soutient la recourante, l’expert a également expliqué pour quelles raisons il écartait le diagnostic de trouble somatoforme : il a considéré que les céphalées dont se plaignait l’assurée n’avaient rien d’atypique et qu’elles répondaient au traitement spécifique, de même que les lombalgies, banales et ne constituant pas une plainte de premier plan. En cela, il a d’ailleurs été rejoint par le SMR qui, après l’expertise du Dr C______, faisait déjà remarquer que le diagnostic de trouble somatoforme douloureux chronique devait être écarté, la dépression précédant de nombreuses années le développement des douleurs. De même, l’expert a clairement expliqué pourquoi il ne retenait pas non plus le diagnostic de trouble de la personnalité - au demeurant pas non plus évoqué par les Drs E______ ou C______ : l’assurée était tout de même restée stable sur le plan personnel et socio-professionnel jusqu’à sa grossesse et à la naissance de son aîné, en 2004 (ce que confirme l’extrait de ses comptes individuels AVS) et assumait au surplus correctement sa vie de famille, dans des conditions difficiles, démontrant que, loin de faire preuve de carences adaptatives, elle avait au contraire une capacité de résilience sortant de l’ordinaire. Enfin, l’expert a précisé avoir recherché minutieusement d’éventuelles caractéristiques psychotiques, en vain : l’assurée avait certes été victime d’hallucinations auditives, mais avait précisé que celles-ci n’avaient été que transitoires (trois à quatre mois en 2011). Or, le diagnostic de trouble schizotypique devait être posé avec prudence et en l’occurrence, aucun des critères posés par la CIM-10 ne pouvait être retenu, à l’exception d’un épisode transitoire d’hallucinations auditives de quelques mois, hallucinations dont l’expert a souligné qu’elles n’avaient d’ailleurs pas les caractéristiques de celles que l’on retrouve dans les psychoses graves. En définitive, force est de constater que le rapport d'examen du Dr F______ se fonde sur une anamnèse détaillée, un examen clinique, qu’il tient compte des plaintes de l’intéressée, qu’il a été établi en pleine connaissance du dossier et que ses conclusions, dûment motivées, ne laissent pas apparaître de contradictions. Il y a donc lieu de lui reconnaître pleine valeur probante ce, d'autant plus que deux autres rapports d’expertise ont été versés précédemment au dossier, dont aucun n’a retenu d’atteinte incapacitante suffisamment durable pour être considérée comme invalidante. Ainsi, tout comme le Dr F______, le Dr C______ avant lui a considéré que l’arrêt de travail de l’assurée relevait essentiellement de facteurs familiaux et culturels n’entrant pas dans le champ médical stricto sensu. Il en a été de même de la Dresse E______, qui a souligné un contexte culturel particulier et un conflit familial important.</w:t>
      </w:r>
    </w:p>
    <w:p>
      <w:r>
        <w:t>A/507/2014 - 15/16 - Quant au témoignage du Dr B______, il s’avère insuffisant pour s’écarter de l’avis du Dr F______ ou même motiver une quatrième expertise. En effet, le Dr B______ n’apporte aucun argument médical objectif pour étayer son point de vue selon lequel ce diagnostic devrait être retenu. Il se contente d’échafauder des hypothèses quant à d’éventuelles conséquences psycho-traumatiques des violences subies par sa patiente et leur impact au niveau cérébral, sans qu’aucun examen ne vienne étayer ses suppositions. Eu égard aux considérations qui précèdent, c’est par conséquent à juste titre que l’intimé a reconnu pleine valeur probante à l’expertise du Dr F______ et nié l’existence d’une atteinte à la santé invalidante. Le recours est par conséquent rejeté.</w:t>
      </w:r>
    </w:p>
    <w:p>
      <w:r>
        <w:t>A/507/2014 - 16/16 -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