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ATAS/402/2011 vom 19. April 2011</w:t>
      </w:r>
    </w:p>
    <w:p>
      <w:r>
        <w:t>GE Cour de justice, 2011-04-19, FR</w:t>
      </w:r>
    </w:p>
    <w:p>
      <w:r>
        <w:rPr>
          <w:b/>
        </w:rPr>
        <w:t xml:space="preserve">Quelle: </w:t>
      </w:r>
      <w:r>
        <w:t>https://mcp.opencaselaw.ch/entscheid/ge_gerichte_ATAS_402_2011</w:t>
      </w:r>
    </w:p>
    <w:p>
      <w:r>
        <w:t>FR: GE_GERICHTE ATAS/402/2011 du 19 avril 2011</w:t>
      </w:r>
    </w:p>
    <w:p>
      <w:r>
        <w:t>IT: GE_GERICHTE ATAS/402/2011 del 19 aprile 2011</w:t>
      </w:r>
    </w:p>
    <w:p>
      <w:pPr>
        <w:pStyle w:val="Heading2"/>
      </w:pPr>
      <w:r>
        <w:t>Erwägungen</w:t>
      </w:r>
    </w:p>
    <w:p>
      <w:r>
        <w:rPr>
          <w:b/>
        </w:rPr>
        <w:t>E. 5</w:t>
      </w:r>
    </w:p>
    <w:p>
      <w:r>
        <w:t>L'assuré, représenté par ASSISTA TCS SA, a formé opposition le 8 décembre 2010. Il a contesté le gain assuré retenu par l'intimée, considérant que l'indemnité devait être calculée sur la base du gain assuré 2008, soit l'année précédant la rechute.</w:t>
      </w:r>
    </w:p>
    <w:p>
      <w:r>
        <w:rPr>
          <w:b/>
        </w:rPr>
        <w:t>E. 6</w:t>
      </w:r>
    </w:p>
    <w:p>
      <w:r>
        <w:t>Par décision du 31 janvier 2011, l'intimée a rejeté l'opposition.</w:t>
      </w:r>
    </w:p>
    <w:p>
      <w:r>
        <w:rPr>
          <w:b/>
        </w:rPr>
        <w:t>E. 7</w:t>
      </w:r>
    </w:p>
    <w:p>
      <w:r>
        <w:t>L'assuré a interjeté recours le 2 mars 2011 contre ladite décision. Il a fait valoir qu'après s'être vu notifier la décision sur opposition, il avait appris qu'il devait subir une nouvelle intervention chirurgicale. Il reproche ainsi à l'intimée de n'avoir pas su tenir compte de l'aggravation prévisible de son état de santé. Il n'est dès lors pas exclu à son avis que l'intimée doive prolonger la prise en charge des frais médicaux et augmenter le taux de l'indemnité pour atteinte à l'intégrité. Il requiert la suspension de la procédure jusqu'au 31 mai 2011, afin de produire un rapport d'expertise de partie. Il conclut à ce que la prise en charge des frais médicaux ne prenne fin qu'au 31 mai 2011, à ce que la décision du 31 janvier 2011 soit annulée, et à ce qu'il soit dit et constaté que l'indemnité pour atteinte à l'intégrité corporelle dépasse le taux de 20% dans une mesure à déterminer.</w:t>
      </w:r>
    </w:p>
    <w:p>
      <w:r>
        <w:rPr>
          <w:b/>
        </w:rPr>
        <w:t>E. 8</w:t>
      </w:r>
    </w:p>
    <w:p>
      <w:r>
        <w:t>Dans sa réponse du 31 mars 2011, l'intimée a consenti à la suspension de la procédure jusqu'au 31 mai 2011. Au fond, rappelant que la décision du 17 novembre 2010 avait acquis force de chose jugée concernant l'atteinte de la stabilité de la santé du recourant et la fin de la prise en charge des frais de traitement au 16 novembre 2010, elle a conclu au rejet du recours.</w:t>
      </w:r>
    </w:p>
    <w:p>
      <w:r>
        <w:rPr>
          <w:b/>
        </w:rPr>
        <w:t>E. 9</w:t>
      </w:r>
    </w:p>
    <w:p>
      <w:r>
        <w:t>Ce courrier a été transmis à l'assuré, puis la cause gardée à juger.</w:t>
      </w:r>
    </w:p>
    <w:p>
      <w:r>
        <w:t>A/640/2011 - 3/7 -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3. Interjeté dans les forme et délai prévus par la loi, le recours est recevable (art. 56 ss LPGA). 4. Dans son recours, l'assuré n'a pas seulement conclu à l'annulation de la décision sur opposition du 31 janvier 2011, mais faisant valoir qu'il devait subir une nouvelle intervention chirurgicale, ce qu'il venait d'apprendre, il a requis la prolongation de la prise en charge des frais médicaux au 31 mai 2011 et une nouvelle évaluation du taux de l'indemnité pour atteinte à l'intégrité. 5.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ATF 119 Ib 36 consid. 1b et les références citées). Ainsi, une conclusion qui sort de l'objet de la contestation défini par la décision sur opposition n'est pas recevable (ATF 125 V 414 consid. 1; Meyer/von Zwehl, L'objet du litige en procédure de droit administratif fédéral, in : Mélanges Pierre Moor, Berne 2005, p. 439 no 8); cf. ATF du 3 février 2006 C 80/05 ). 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w:t>
      </w:r>
    </w:p>
    <w:p>
      <w:r>
        <w:t>A/640/2011 - 4/7 - 6. La Cour de céans constate qu'en l'espèce, l’intimée a dûment tranché sur opposition la seule question qui lui était soumise, à savoir déterminer quel était le gain assuré sur la base duquel devait être calculée l'indemnité pour atteinte à l'intégrité due à l'assuré. S’agissant de la date à compter de laquelle la prise en charge des frais médicaux devait cesser et du taux de l'IAI à prendre en considération, force est de constater que l’intimée n’a pas rendu de décision et ne s’est pas exprimée à ce sujet. Les nouvelles conclusions de l'assuré formulées pour la première fois dans le recours sortent ainsi du cadre de la présente contestation. Elles seront donc déclarées irrecevables (cf. ATF non publié C.211/06 du 29 août 2007, consid. 3). L'assuré fait valoir une nouvelle rechute ou des séquelles tardives, sans autre précision. Il n'appartient pas à la Cour de céans d'investiguer sur ce fait nouveau. Partant, les conclusions de l'assuré y relatives sont prématurées. Elles peuvent en revanche faire l'objet d'une nouvelle demande à adresser à l'intimée. 7.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par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 Kommentar: Kommentar zum Bundesgesetz über den Allgemeinen Teil des Sozialversiche-rungsrechts vom 6. Oktober 2000, Zurich 2003, n. 2 ss ad art. 52, avec les références; Pierre Moor, Droit administratif, vol. II: Les actes administratifs et leur contrôle, 2ème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w:t>
      </w:r>
    </w:p>
    <w:p>
      <w:r>
        <w:t>A/640/2011 - 5/7 -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Ainsi, le but de la procédure d'opposition, qui est obligatoire (SVR 2006 AHV N° 13, p. 44 et 2005 AHV N° 9 p. 30),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 consid. 1b p. 191, Arrêt du Tribunal fédéral des assurances du 25 septembre 2007, C 273/06). La procédure d'opposition porte sur les rapports juridiques qui, d'une part, font l'objet de la décision initiale de l'autorité et à propos desquels, d'autre part, l'opposant manifeste son désaccord, implicitement ou explicitement (cf. ATF 119 V 350 consid. 1b et les références; voir également l'arrêt D. du 8 octobre 2003 [U 152/01] consid. 3). Si la décision initiale ne porte que sur un seul rapport juridique - par exemple, le droit de l'assuré à une rente d'invalidité -, celui-ci constitue également l'objet de la procédure d'opposition. L'autorité valablement saisie d'une opposition devra donc se prononcer une seconde fois sur tous les aspects de ce rapport juridique, quand bien même la motivation de la nouvelle décision portera principalement sur les points critiqués par l'opposant. En cas de recours ultérieur à un juge, ce rapport juridique constituera également l'objet du litige dont il a à connaître (cf. ATF 125 V 415 ss consid. 2; pour la procédure d'opposition : Meyer-Blaser, Streitgegenstand im Streit-Erläuterungen zu BGE 125 V 413, in: Schaffhauser/Schlauri (édit.), Aktuelle Rechtsfragen der Sozialversicherungspraxis, St-Gall 2001, p. 19, Arrêt du Tribunal fédéral des assurances du 19 novembre 2004, I 663/03). Les autorités administratives et judiciaires sont liées par le principe général de la bonne foi en procédure découlant aussi bien de l'art. 4 aCst. que de l'art. 9 Cst. L'interdiction du formalisme excessif qui constitue l'une de ces garanties de procédure commande à celles-ci d'éviter de sanctionner par l'irrecevabilité les vices de procédure qui auraient pu être redressés à temps, lorsqu'elles pouvaient s'en rendre compte assez tôt et les signaler utilement au plaideur (ATF 120 V 417consid. 5a). Le formalisme excessif est une forme particulière du déni de justice prohibé par l'art. 29 al. 1 Cst. Il est réalisé lorsqu'il est prévu pour une procédure des règles de forme rigoureuses, sans que cette rigueur soit matériellement justifiée. Selon la jurisprudence, les formes procédurales sont nécessaires dans la mise en oeuvre des voies de droit pour assurer le déroulement de la procédure conformément au principe de l'égalité de traitement, ainsi que pour</w:t>
      </w:r>
    </w:p>
    <w:p>
      <w:r>
        <w:t>A/640/2011 - 6/7 - garantir l'application du droit matériel; toutes les exigences formelles ne se trouvent donc pas en contradiction avec la prohibition du formalisme excessif.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(ATF 130 V 183 consid. 5.4.1, 128 II 142 consid. 2a). L'excès de formalisme peut résider soit dans la règle de comportement imposée au justiciable, soit dans la sanction qui lui est attachée (ATF 125 I 170 consid. 3a ; arrêt du 11 janvier 2005, I 191/04). 8. Force est de constater qu'en l'espèce, l'assuré n'a pas formé opposition contre le fait que son état de santé ait été considéré comme stabilisé au 16 novembre 2010 et partant que l'intimée mette fin à cette date à ses prestations. Il n'a pas non plus contesté le taux retenu pour l'indemnité pour atteinte à l'intégrité. Aussi ces deux points sont-ils entrés en force. Autre est la question de savoir si, ainsi qu'il l'allègue, l'assuré a subi une nouvelle rechute ou des séquelles tardives, ce qui fera, le cas échéant, l'objet d'une nouvelle instruction, suivie d'une nouvelle décision sujette à opposition.</w:t>
      </w:r>
    </w:p>
    <w:p>
      <w:r>
        <w:t>A/640/2011 - 7/7 -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