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ATAS/401/2013 vom 29. April 2013</w:t>
      </w:r>
    </w:p>
    <w:p>
      <w:r>
        <w:t>GE Cour de justice, 2013-04-29, FR</w:t>
      </w:r>
    </w:p>
    <w:p>
      <w:r>
        <w:rPr>
          <w:b/>
        </w:rPr>
        <w:t xml:space="preserve">Quelle: </w:t>
      </w:r>
      <w:r>
        <w:t>https://mcp.opencaselaw.ch/entscheid/ge_gerichte_ATAS_401_2013</w:t>
      </w:r>
    </w:p>
    <w:p>
      <w:r>
        <w:t>FR: GE_GERICHTE ATAS/401/2013 du 29 avril 2013</w:t>
      </w:r>
    </w:p>
    <w:p>
      <w:r>
        <w:t>IT: GE_GERICHTE ATAS/401/2013 del 29 aprile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A/2769/2012 - 10/20 - En l'espèce, la décision litigieuse, du 26 juillet 2012, est postérieure à l'entrée en vigueur de la LPGA ainsi qu’à l’entrée en vigueur, le 1er janvier 2004, des modifications de la LAI du 21 mars 2003 (4ème révision), le 1er janvier 2008, des modifications de la LAI du 6 octobre 2006 (5ème révision), et le 1er janvier 2012, des modifications de la LAI du 18 mars 2011 (révision 6a). Par conséquent, du point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 Cela étant, ces novelles n'ont pas amené de modifications substantielles en matière d'évaluation de l'invalidité (ATF non publié I 249/05 du 11 juillet 2006, consid. 2.1 et Message concernant la modification de la loi fédérale sur l'assurance-invalidité du 22 juin 2005, FF 2005 p. 4322).</w:t>
      </w:r>
    </w:p>
    <w:p>
      <w:r>
        <w:rPr>
          <w:b/>
        </w:rPr>
        <w:t>E. 3</w:t>
      </w:r>
    </w:p>
    <w:p>
      <w:r>
        <w:t>Le délai de recours est de 30 jours (art. 60 al. 1 LPGA). Interjeté dans la forme et le délai prévus par la loi, le recours est recevable, en vertu des art. 56ss LPGA.</w:t>
      </w:r>
    </w:p>
    <w:p>
      <w:r>
        <w:rPr>
          <w:b/>
        </w:rPr>
        <w:t>E. 4</w:t>
      </w:r>
    </w:p>
    <w:p>
      <w:r>
        <w:t>L’objet du litige porte sur la question de savoir si c’est à juste titre que l’intimé a limité le droit du recourant à une rente du 1er septembre 2006 au 31 mars 2009 et a nié son droit à des mesures d’ordre professionnel.</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également lorsque celui-ci est resté en soi le même, mais que ses conséquences sur la capacité de gain ont subi un changement important (ATF 130 V 343 consid. 3.5 ; ATF 113 V 273 consid. 1a ; ATF non publié 9C_1006/2010 du 22 mars 2011, consid 2.2).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 non publié I 559/02 du 31 janvier 2003, consid. 3.2 et les arrêts cités). La réglementation sur la révision ne saurait en effet constituer un fondement juridique à un réexamen sans condition du droit à la rente (ATF non publié I 406/05 du 13 juillet 2006, consid. 4.1). Un changement de jurisprudence n'est pas un motif de révision (ATF 129 V 200 consid. 1.2).</w:t>
      </w:r>
    </w:p>
    <w:p>
      <w:r>
        <w:t>A/2769/2012 - 11/20 -</w:t>
      </w:r>
    </w:p>
    <w:p>
      <w:r>
        <w:rPr>
          <w:b/>
        </w:rPr>
        <w:t>E. 6</w:t>
      </w:r>
    </w:p>
    <w:p>
      <w:r>
        <w:t>Il convient, en premier lieu, de déterminer si l’état de santé du recourant s’est amélioré de manière déterminante depuis le mois de janvier 2009, comme retenu par l’intimé.</w:t>
      </w:r>
    </w:p>
    <w:p>
      <w:r>
        <w:rPr>
          <w:b/>
        </w:rPr>
        <w:t>E. 7</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w:t>
      </w:r>
    </w:p>
    <w:p>
      <w:r>
        <w:rPr>
          <w:b/>
        </w:rPr>
        <w:t>E. 8</w:t>
      </w:r>
    </w:p>
    <w:p>
      <w:r>
        <w:t>Les atteintes à la santé psychique peuvent, comme les atteintes physiques, entraîner une invalidité au sens de l'art. 4 al. 1 LAI en liaison avec l'art. 8 LPGA. L’atteinte à la santé n’est pas à elle seule déterminante; elle ne sera prise en considération que dans la mesure où elle entraîne une incapacité de travail ayant des effets sur la capacité de gain de l’assuré (ATF non publié I 654/00 du 9 avril 2001, consid. 1).</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10</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w:t>
      </w:r>
    </w:p>
    <w:p>
      <w:r>
        <w:t>A/2769/2012 - 12/20 - 3a; ATF 122 V 157 consid. 1c et les références ; ATF non publié 9C_773/2007 du 23 juin 2008, consid. 2.1).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ATF non publié I 514/06 du 25 mai 2007, consid. 2.2.1),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ATF 130 III 324 consid. 3.2 et 3.3). Aussi n’existe-t-il pas, en droit des assurances</w:t>
      </w:r>
    </w:p>
    <w:p>
      <w:r>
        <w:t>A/2769/2012 - 13/20 -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ATF 122 III 223 consid. 3c). Une telle manière de procéder ne viole pas le droit d’être entendu selon l’art. 29 al. 2 Cst. (SVR 2001 IV n. 10 p. 28 consid. 4b), la jurisprudence rendue sous l’empire de l’art. 4 aCst. étant toujours valable (ATF 124 V 94 consid. 4b; ATF 122 V 162 consid. 1d).</w:t>
      </w:r>
    </w:p>
    <w:p>
      <w:r>
        <w:rPr>
          <w:b/>
        </w:rPr>
        <w:t>E. 12</w:t>
      </w:r>
    </w:p>
    <w:p>
      <w:r>
        <w:t>a) En l’espèce, la décision de l'intimé est principalement basée sur l'expertise bi- disciplinaire effectuée par les Drs LS___________ et LT___________ le 21 décembre 2011. Ceux-ci ont retenu, en substance, que: (i) sur le plan somatique, l'atteinte au niveau de la coiffe des rotateurs n'empêchait pas les mouvements d'élévation ou d'abduction des épaules, mais empêchait tous les mouvements répétés des épaules et ceux nécessitant de soulever de lourdes charges; l'obésité morbide dont souffrait le recourant rendait ses déplacements lents et difficiles et les gonalgies constatées l'empêchaient d'effectuer certains mouvements et déplacements; (ii) sur le plan psychique, le recourant présentait un épisode dépressif en rémission depuis au moins le printemps 2010; ses plaintes n'avaient pas été objectivées lors de l'examen, ce qui concordait avec les photos et vidéos effectuées lors de l'enquête, qui infirmaient une symptomatologie dépressive moyenne, sévère, voire légère. En raison des atteintes somatiques, le recourant présentait des limitations dans la capacité d'effectuer des mouvements répétés, de soulever au-dessus de l'horizontale des charges de plus de 10 kilos, de monter ou descendre de façon répétée des escaliers ou des échafaudages, de se baisser ou se relever de façon répétée, d'être en position à genou ou accroupie et de marcher sur un terrain accidenté. S'agissant de la capacité de travail, sur le plan somatique, la capacité du recourant était nulle depuis 2005 dans son activité habituelle, mais entière dans une activité adaptée auxdites limitations fonctionnelles, sous réserve d'une diminution de rendement de 30% en raison de son obésité morbide. Sur le plan psychique, on pouvait admettre un arrêt de travail de 50% à 100% sur des périodes qui n'avaient pas excédé un année au total. Au jour de l'expertise, l'assuré ne présentait aucun trouble psychique. b) Le rapport d'expertise a été établi sur la base d'un résumé des éléments ressortant des documents médicaux et administratifs à disposition, d’une anamnèse détaillée,</w:t>
      </w:r>
    </w:p>
    <w:p>
      <w:r>
        <w:t>A/2769/2012 - 14/20 - comprenant un volet familial, médical, social et professionnel, sur les plaintes du recourant, ainsi que sur les examens cliniques rhumatologique et psychiatrique du 7 juillet 2011. Les experts ont clairement exposé leurs constatations cliniques et motivé leurs conclusions, ainsi que les raisons pour lesquelles ils ont retenu chacun des diagnostics et les limitations somatiques que certains d’entre eux engendrent, et les raisons pour lesquelles ils ont exclu tout diagnostic sur le plan psychique. De plus, aucune pièce médicale versée au dossier ne permet de remettre en cause les conclusions des Drs LS___________ et LT___________. Les courriers des Dr S___________, Q___________, et T___________ d'avril 2012 ne font ainsi état d'aucun diagnostic qui n'aurait pas été retenu par les experts. De plus, les Dr S___________ et Q___________ n'ont pas motivé leur appréciation de la capacité de travail du recourant, le second ne précisant par ailleurs pas s'il se référait à l'activité habituelle du recourant ou à une activité adaptée. De surcroît, on peine à comprendre pour quelle raison le recourant n'aurait plus, selon le Dr Q___________, qu'une capacité de travail d'environ 50% en avril 2012, en raison de la persistance d'une somnolence diurne, alors que l'index d'apnées hypopnées du recourant s'est normalisé à 4.7/h, et qu'en août 2007, lorsque que le même index s'élevait à 24.5/h, le médecin concluait à une capacité de travail de 80% dans la profession habituelle et une capacité entière dans une activité adaptée. La même question se pose si on se réfère au rapport de mars 2009, dans lequel le Dr Q___________ considérait que la capacité de travail du recourant était totale dans l'activité habituelle, alors qu'il ne constatait qu'une «légère amélioration de la somnolence diurne» du recourant. L'appréciation évasive de la capacité de travail du recourant par le Dr T___________ ne permet pas d'en tirer argument. De plus, contrairement à ce qu'il a affirmé, il ressort de l'expertise que les conclusions des Drs LS___________ et LT___________ reposent sur l'examen de l'entier du dossier, et non seulement sur un examen clinique unique. De même, l'argument selon lequel le rapport de surveillance a induit en erreur les médecins car il ne mentionnait pas que le recourant n'aidait sa femme que pendant dix à quinze minutes ne peut être suivi, dans la mesure où les experts ont tenu compte de cet élément. De plus, contrairement à ce qui est allégué par le recourant, il a lui-même admis aider parfois son épouse pour la vente, en sus de l'installation du stand et le port des caisses de marchandises. Enfin, il n'a pas rendu vraisemblable qu'il ne portait que des charges de moins de 5 kilos. En tout état de cause, les Drs LS___________ et LT___________ ont retenu une limitation fonctionnelle relative au poids maximal des charges à soulever. c) Eu égard à ce qui précède, la Cour estime que le rapport d'expertise du 21 décembre 2011 remplit en tous points les réquisits jurisprudentiels pour que lui soit</w:t>
      </w:r>
    </w:p>
    <w:p>
      <w:r>
        <w:t>A/2769/2012 - 15/20 - accordée une pleine valeur probante, et qu'il convient de conclure, au degré de la vraisemblance prépondérante, à une capacité de travail entière, dans une activité adaptée aux limitations fonctionnelles retenues, sous déduction d'une diminution de rendement de 30% pour des raisons somatiques, dès le 1er janvier 2009.</w:t>
      </w:r>
    </w:p>
    <w:p>
      <w:r>
        <w:rPr>
          <w:b/>
        </w:rPr>
        <w:t>E. 13</w:t>
      </w:r>
    </w:p>
    <w:p>
      <w:r>
        <w:t>Reste à examiner le degré d'invalidité présenté par le recourant. a)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w:t>
      </w:r>
    </w:p>
    <w:p>
      <w:r>
        <w:t>A/2769/2012 - 16/20 -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 non publiés I 168/05 du 24 avril 2006, consid. 3.3; ATF non publié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b) En l'espèce, la capacité de gain du recourant s'est améliorée en janvier 2009 et depuis lors, sa capacité de travail est entière dans une activité adaptée à ses</w:t>
      </w:r>
    </w:p>
    <w:p>
      <w:r>
        <w:t>A/2769/2012 - 17/20 - limitations, avec une diminution de rendement de 30%. Ainsi, dans la mesure où le changement important de la capacité de travail ayant une incidence sur la capacité de gain remonte à 2009, il convient de se placer à la même année pour procéder à la comparaison de revenus (ATF non publié I 95/07 du 15 février 2008, consid. 5). S'agissant du revenu sans invalidité, l'intimé s'est correctement référé au revenu annuel de 55'250 fr. que le recourant aurait perçu en 2007 selon l'attestation remplie en janvier de la même année par son employeur. Ce revenu doit être indexé en fonction de l'Indice suisse des salaires jusqu'en 2009 (et non 2010 comme l'a indiqué par mégarde l'intimé tout en ayant indexé jusqu'en 2009), ce qui le porte à 57'652 fr. Pour le revenu d'invalide, le recourant n'ayant pas repris d'activité lucrative, la référence au revenu statistique tiré d'activités simples et répétitives est conforme à la jurisprudence. Selon l'ESS 2008, ce revenu mensuel était de 4'806 fr. en 2008 pour 40 heures hebdomadaires, 13ème salaire compris, soit un revenu annuel de 57'672 fr. Indexé à 2009 et en tenant compte de la durée normale de travail de 41.6 heures selon la statistique sur la durée normale du travail (DNT) ainsi que de la diminution de rendement de 30%, ce revenu est de 42'868 fr. Par ailleurs, contrairement à ce qui a été retenu par l'intimé, la Cour estime qu'il convient d'appliquer, conformément à la jurisprudence, un facteur de réduction sur le salaire statistique qui tient compte de l'ensemble des circonstances personnelles et professionnelles du cas particulier (ATF 126 V 75 consid. 5). En effet, le rapport d'expertise du 21 décembre 2011 rattache expressément et exclusivement la diminution de rendement de 30% à l'obésité morbide dont souffre le recourant, alors que les limitations fonctionnelles du recourant sont rattachées aux gonalgies et aux atteintes aux épaules de ce dernier. Partant, compte tenu desdites limitations fonctionnelles, de l'âge du recourant au moment de la décision litigieuse - 51 ans, ce qui est encore éloigné de l'âge à partir duquel le Tribunal fédéral reconnaît généralement que ce facteur devient déterminant et nécessite une approche particulière (ATF non publié 9C_104/2008 du 15 octobre 2008 et les références) -, du fait que le recourant a la nationalité suisse, de sa pleine capacité de travail dans une activité adaptée sous réserve de la diminution de rendement, et du fait qu'il a travaillé près de 9 ans auprès du même employeur, une réduction de 15% se justifie. c) Le revenu avec invalidité du recourant s'élève en définitive à 36'438 fr., qui, une fois comparé avec le revenu sans invalidité de 57'672 fr., donne un taux d'invalidité de 37% [(57'627 fr. - 36'438 fr.) x 100] : 57'627 fr.). Si ce taux est supérieur à celui retenu par l'intimé, il reste néanmoins en-deçà du degré d'invalidité ouvrant le droit à une rente.</w:t>
      </w:r>
    </w:p>
    <w:p>
      <w:r>
        <w:rPr>
          <w:b/>
        </w:rPr>
        <w:t>E. 14</w:t>
      </w:r>
    </w:p>
    <w:p>
      <w:r>
        <w:t>Reste encore à se prononcer sur le droit à une éventuelle mesure d'ordre professionnel.</w:t>
      </w:r>
    </w:p>
    <w:p>
      <w:r>
        <w:t>A/2769/2012 - 18/20 - 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b) En l’occurrence, le recourant s'est contenté de prétendre à des prestations de l'assurance-invalidité au-delà du 31 mars 2009, sans préciser à quelles mesures d'ordre professionnel il aspirait, le cas échéant, et pour quelles raisons.</w:t>
      </w:r>
    </w:p>
    <w:p>
      <w:r>
        <w:t>A/2769/2012 - 19/20 - Le recourant a refusé le stage qui lui avait été proposé par la CII-MAMAC en mars 2008 pour des motifs qui ne reposaient sur aucun rapport médical et étaient en contradiction avec le rapport de son psychiatre traitant de la même période. Il est vrai que le recourant ne peut plus travailler en qualité d'aide-chauffeur voirie. Cela étant, vu les limitations fonctionnelles qu’il présente - éviter les mouvements répétés, de soulever au-dessus de l'horizontale des charges de plus de 10 kilos, de monter ou descendre, de façon répétée des escaliers ou des échafaudages, de se baisser ou se relever de façon répétée, d'être en position à genou ou accroupie et de marcher sur un terrain accidenté - il y a lieu de considérer qu’un marché équilibré du travail offre un éventail des postes de travail suffisamment large, diversifié et adapté à ces dernières et pour lesquels une simple mise au courant suffit. De plus, le recourant n'est pas dépourvu de formation: il a en effet à son actif un diplôme de mécanicien de précision et un diplôme de perfectionnement dans la même branche, et a travaillé en cette qualité pendant dix ans. Il pourrait donc mettre à profit sa formation et son expérience dans une activité adaptée à ses limitations fonctionnelles. Par ailleurs, comme l'a relevé à bon droit l'intimé, en obtenant, depuis 2007, une carte de légitimation comme vendeur de produits manufacturés et en travaillant effectivement sur les marchés pour monter le stand de son épouse, porter les caisses de marchandises et installer ces mêmes marchandises, voire même, selon ses dires, aider parfois son épouse pour la vente, le recourant a démontré qu'il possédait d'excellentes facultés d'adaptation pour trouver un emploi sur le marché du travail. Il faut donc conclure que c’est également à bon droit que l’intimé a nié le droit du recourant à une mesure d'ordre professionnel.</w:t>
      </w:r>
    </w:p>
    <w:p>
      <w:r>
        <w:rPr>
          <w:b/>
        </w:rPr>
        <w:t>E. 15</w:t>
      </w:r>
    </w:p>
    <w:p>
      <w:r>
        <w:t>Mal fondé, le recours sera rejeté. Un émolument de 200 fr. sera mis en charge du recourant qui succombe (art. 69 al. 1bis LAI). * * *</w:t>
      </w:r>
    </w:p>
    <w:p>
      <w:r>
        <w:t>PAR CES MOTIFS, LA CHAMBRE DES ASSURANCES SOCIALES : Statuant</w:t>
      </w:r>
    </w:p>
    <w:p>
      <w:r>
        <w:t>A/2769/2012 - 20/20 -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