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ATAS/400/2023 vom 5. Juni 2023</w:t>
      </w:r>
    </w:p>
    <w:p>
      <w:r>
        <w:t>GE Cour de justice, 2023-06-05, FR</w:t>
      </w:r>
    </w:p>
    <w:p>
      <w:r>
        <w:rPr>
          <w:b/>
        </w:rPr>
        <w:t xml:space="preserve">Quelle: </w:t>
      </w:r>
      <w:r>
        <w:t>https://mcp.opencaselaw.ch/entscheid/ge_gerichte_ATAS_400_2023</w:t>
      </w:r>
    </w:p>
    <w:p>
      <w:r>
        <w:t>FR: GE_GERICHTE ATAS/400/2023 du 5 juin 2023</w:t>
      </w:r>
    </w:p>
    <w:p>
      <w:r>
        <w:t>IT: GE_GERICHTE ATAS/400/2023 del 5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 La LAI a connu une novelle le 19 juin 2020, entrée en vigueur le 1er janvier 2022. Dans ce cadre, le système des quarts de rente jusque-là applicable a été remplacé par un système linéaire de rentes (Message concernant la modification de la loi fédérale sur l'assurance-invalidité [Développement continu de l'assurance- invalidité], FF 2017 2442). Cela étant, conformément aux principes de droit intertemporel, en cas de changement de règles de droit, la législation applicable est en principe celle en vigueur au moment où les faits juridiquement déterminants se sont produits (ATF 144 V 210 consid. 4.3.1). Partant, les dispositions topiques seront citées dans leur ancienne teneur.</w:t>
      </w:r>
    </w:p>
    <w:p>
      <w:r>
        <w:rPr>
          <w:b/>
        </w:rPr>
        <w:t>E. 3</w:t>
      </w:r>
    </w:p>
    <w:p>
      <w:r>
        <w:t>Déposé dans les forme et délai prévus par la loi (art. 56ss LPGA), le recours est recevable. Malgré leurs formulations, on interprétera les conclusions de la recourante comme tendant à l’octroi d’une rente et de mesures professionnelles, si bien qu’elles sont de nature condamnatoire et non constatatoire, et sont partant recevables (cf. ATF 129 V 289 consid. 2.1).</w:t>
      </w:r>
    </w:p>
    <w:p>
      <w:r>
        <w:rPr>
          <w:b/>
        </w:rPr>
        <w:t>E. 4</w:t>
      </w:r>
    </w:p>
    <w:p>
      <w:r>
        <w:t>Le litige porte sur le droit de la recourante à des prestations d’invalidité.</w:t>
      </w:r>
    </w:p>
    <w:p>
      <w:r>
        <w:rPr>
          <w:b/>
        </w:rPr>
        <w:t>E. 5</w:t>
      </w:r>
    </w:p>
    <w:p>
      <w:r>
        <w:t>Il convient en premier lieu de trancher le grief que soulève la recourante en lien avec le défaut de motivation allégué de la décision.</w:t>
      </w:r>
    </w:p>
    <w:p>
      <w:r>
        <w:rPr>
          <w:b/>
        </w:rPr>
        <w:t>E. 5.1</w:t>
      </w:r>
    </w:p>
    <w:p>
      <w:r>
        <w:t>Le droit d’être entendu, garanti à l'art. 29 de la Constitution fédérale de la Confédération suisse du 18 avril 1999 (Cst. - RS 101), comprend celui d'obtenir une décision motivée. Conformément à ce principe, l'autorité doit indiquer dans son prononcé les motifs qui la conduisent à sa décision (ATF 123 I 31 consid 2c ; arrêt du Tribunal fédéral 8C_954/2008 du 29 mai 2009 consid. 3.1). Le destinataire de la décision doit pouvoir la comprendre et l'attaquer utilement en connaissance de cause s'il y a lieu, et l'instance de recours doit pouvoir exercer pleinement son contrôle si elle est saisie (ATF 139 V 496 consid. 5.1). La violation du droit d'être entendu, pour autant qu'elle ne soit pas d'une gravité particulière, est réparée lorsque la partie lésée a la possibilité de s'exprimer devant</w:t>
      </w:r>
    </w:p>
    <w:p>
      <w:r>
        <w:t>A/1642/2022 - 9/22 - une autorité de recours jouissant d'un plein pouvoir d'examen. Au demeurant, la réparation d'un vice éventuel ne doit avoir lieu qu'exceptionnellement (ATF 124 V 180 consid. 4a).</w:t>
      </w:r>
    </w:p>
    <w:p>
      <w:r>
        <w:rPr>
          <w:b/>
        </w:rPr>
        <w:t>E. 5.2</w:t>
      </w:r>
    </w:p>
    <w:p>
      <w:r>
        <w:t>En l’espèce, si la décision ne comporte pas de motivation, le projet de décision adressé par l’intimé à la recourante en novembre 2021 mentionnait tous les éléments fondant sa position, notamment s’agissant du calcul du degré d’invalidité et de la capacité de travail retenue. Dans la mesure où la décision reprend les termes de ce projet, on doit admettre que la recourante – assistée d’une avocate – était bien en mesure d’en saisir les fondements. Par ailleurs, l’intimé a transmis le dossier complet de la recourante à son conseil le 9 mai 2022, lequel contenait la motivation de la décision adressée à la caisse de compensation, de sorte qu’une éventuelle violation du droit d’être entendue de la recourante devrait en toute hypothèse être considérée comme réparée. Le grief de la recourante doit ainsi être écarté.</w:t>
      </w:r>
    </w:p>
    <w:p>
      <w:r>
        <w:rPr>
          <w:b/>
        </w:rPr>
        <w:t>E. 6</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 L’art. 15 LAI dispose que l’assuré auquel son invalidité rend difficile le choix d’une profession ou l’exercice de son activité antérieure a droit à l’orientation professionnelle.</w:t>
      </w:r>
    </w:p>
    <w:p>
      <w:r>
        <w:rPr>
          <w:b/>
        </w:rPr>
        <w:t>E. 7</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dans sa teneur jusqu’au 31 décembre 2021 dispose que l’assuré a droit à une rente entière s’il est invalide à 70% au moins, à trois quarts de rente s’il est invalide à 60% au moins, à une demi-rente s’il est invalide à 50% au moins ou à un quart de rente s’il est invalide à 40% au moins.</w:t>
      </w:r>
    </w:p>
    <w:p>
      <w:r>
        <w:t>A/1642/2022 - 10/22 -</w:t>
      </w:r>
    </w:p>
    <w:p>
      <w:r>
        <w:rPr>
          <w:b/>
        </w:rPr>
        <w:t>E. 8</w:t>
      </w:r>
    </w:p>
    <w:p>
      <w:r>
        <w:t>Selon la jurisprudence, l’art. 17 LPGA sur la révision d'une rente en cours s'applique également à la décision par laquelle une rente échelonnée dans le temps est accordée à titre rétroactif (arrêt du Tribunal fédéral 9C_832/2011 du 24 février 2012 consid. 4 et les références). Dans un tel cas, la date de la modification est déterminée conformément à l'art. 88a du règlement sur l’assurance-invalidité (RAI – RS 831.201). Conformément à l’alinéa premier de cette disposition,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(arrêt du Tribunal fédéral 9C_134/2015 du 3 septembre 2015 consid. 4.1).</w:t>
      </w:r>
    </w:p>
    <w:p>
      <w:r>
        <w:rPr>
          <w:b/>
        </w:rPr>
        <w:t>E. 9</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w:t>
      </w:r>
    </w:p>
    <w:p>
      <w:r>
        <w:rPr>
          <w:b/>
        </w:rPr>
        <w:t>E. 9.1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w:t>
      </w:r>
    </w:p>
    <w:p>
      <w:r>
        <w:t>A/1642/2022 - 11/22 -</w:t>
      </w:r>
    </w:p>
    <w:p>
      <w:r>
        <w:rPr>
          <w:b/>
        </w:rPr>
        <w:t>E. 9.2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9.3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10</w:t>
      </w:r>
    </w:p>
    <w:p>
      <w:r>
        <w:t>Dans un arrêt portant sur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w:t>
      </w:r>
    </w:p>
    <w:p>
      <w:r>
        <w:rPr>
          <w:b/>
        </w:rPr>
        <w:t>E. 10.1</w:t>
      </w:r>
    </w:p>
    <w:p>
      <w:r>
        <w:t>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w:t>
      </w:r>
    </w:p>
    <w:p>
      <w:r>
        <w:t>A/1642/2022 - 12/22 -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w:t>
      </w:r>
    </w:p>
    <w:p>
      <w:r>
        <w:t>A/1642/2022 - 13/22 -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révélée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w:t>
      </w:r>
    </w:p>
    <w:p>
      <w:r>
        <w:t>A/1642/2022 - 14/22 -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w:t>
      </w:r>
    </w:p>
    <w:p>
      <w:r>
        <w:rPr>
          <w:b/>
        </w:rPr>
        <w:t>E. 10.2</w:t>
      </w:r>
    </w:p>
    <w:p>
      <w:r>
        <w:t>La fibromyalgie est considérée comme faisant partie des atteintes psychosomatiques soumises à la grille d'évaluation normative et structurée développée par le Tribunal fédéral (arrêt du Tribunal fédéral 9C_101/2019 du</w:t>
      </w:r>
    </w:p>
    <w:p>
      <w:r>
        <w:rPr>
          <w:b/>
        </w:rPr>
        <w:t>E. 10.3</w:t>
      </w:r>
    </w:p>
    <w:p>
      <w:r>
        <w:t>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11.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11.1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w:t>
      </w:r>
    </w:p>
    <w:p>
      <w:r>
        <w:t>A/1642/2022 - 15/22 - 11.2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9C_284/2020 du 8 juillet 2020 consid. 2.2). 11.3 Pour déterminer le revenu d'invalide de l'assuré, il faut en l'absence d'un revenu effectivement réalisé se référer aux données salariales, telles qu'elles résultent des ESS (ATF 126 V 75 consid. 3b). Le revenu tiré d'activités simples et répétitives (niveau 4 jusqu'à l'ESS 2010 et niveau 1 dès l'ESS 2012) est une valeur statistique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11.4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w:t>
      </w:r>
    </w:p>
    <w:p>
      <w:r>
        <w:rPr>
          <w:b/>
        </w:rPr>
        <w:t>E. 12</w:t>
      </w:r>
    </w:p>
    <w:p>
      <w:r>
        <w:t>Il convient en premier lieu d’examiner si l’expertise des médecins du CEMed satisfait les réquisits jurisprudentiels rappelés ci-dessus.</w:t>
      </w:r>
    </w:p>
    <w:p>
      <w:r>
        <w:rPr>
          <w:b/>
        </w:rPr>
        <w:t>E. 12.1</w:t>
      </w:r>
    </w:p>
    <w:p>
      <w:r>
        <w:t>Au plan neurologique, le Dr E______ a retenu dans son rapport le diagnostic d’hémiparésie gauche d'intensité légère et de caractère inconstant et fluctuant. Le diagnostic différentiel se posait avec un trouble somatoforme, dont l’experte psychiatre devait évaluer la plausibilité. La recourante présentait également des céphalées épisodiques fréquentes, d'origine probablement multifactorielle, notamment de tension et par abus d'antalgiques. Ces céphalées primaires ne constituaient pas une limitation fonctionnelle significative et durable de la capacité de travail. La recourante présentait en outre des séquelles vasculaires sans traduction clinique objectivable, qui n’étaient pas en relation de causalité avec les troubles moteurs hémicorporels. Ces anomalies n'entraînaient aucune limitation fonctionnelle. Le neurologue a relevé que la recourante confirmait avoir recouvré une pleine autonomie dans les activités de la vie quotidienne. Depuis environ un an, elle pouvait se déplacer de façon autonome. L'examen neurologique révélait quelques incohérences manifestes, telles que des difficultés à effectuer les divers mouvements de la jambe gauche lors du testing musculaire, alors que les performances s'amélioraient si la recourante était stimulée. De plus,</w:t>
      </w:r>
    </w:p>
    <w:p>
      <w:r>
        <w:t>A/1642/2022 - 16/22 - celle-ci pouvait marcher sans difficulté en prenant appui sur sa jambe gauche. Il n'existait par ailleurs aucune anomalie lors de l'examen de la sensibilité et des réflexes, et il n'y avait pas de signes pyramidaux. Le bilan radiologique en 2018 n’avait révélé aucune lésion organique cérébrale ou médullaire expliquant les symptômes. Il n'existait pas non plus d'argument clinique en faveur d'une origine périphérique. Si un trouble neurologique fonctionnel était possible, l'examen réalisé n’en mettait pas en évidence les signes diagnostiques nécessaires (signe de Hoover, signe de l'abduction de hanche). En conséquence, aucune limitation fonctionnelle ne pouvait être retenue au sens de la neurologie. L'évolution clinique avait été lentement favorable depuis le mois de février 2018, à la faveur de séances régulières de physiothérapie et d'ergothérapie. L’expert, outre les incohérences constatées à l’examen clinique, a noté une discordance entre ces anomalies et la pleine autonomie déclarée par la recourante dans sa vie quotidienne, celle-ci se disant capable d'effectuer quotidiennement toutes ses tâches ménagères et de promener ses chiens. Sa capacité de travail dans l’activité habituelle était complète. Elle avait été nulle durant le séjour hospitalier, soit durant trois mois dès février 2018, puis à nouveau totale depuis mai 2018. La réadaptation professionnelle dans le domaine des ressources humaines était exigible du point de vue neurologique.</w:t>
      </w:r>
    </w:p>
    <w:p>
      <w:r>
        <w:rPr>
          <w:b/>
        </w:rPr>
        <w:t>E. 12.2</w:t>
      </w:r>
    </w:p>
    <w:p>
      <w:r>
        <w:t>L’expert de médecine interne a notamment relevé dans l’anamnèse que le syndrome douloureux s’était exacerbé depuis début 2018 et que la fibromyalgie avait été évoquée lors du séjour aux HUG. Le Dr F______ a décrit les plaintes de la recourante. A l'examen clinique, hormis l'hémisyndrome gauche, on ne trouvait pas d'argument en faveur d'une maladie rhumatismale évolutive. La palpation des diverses insertions tendino-musculaires était douloureuse, surtout à l'hémicorps gauche, à peine mobilisable et avec des douleurs à l'effleurement. Les points de fibromyalgie étaient positifs, surtout à gauche, et tous les signes de Waddell étaient présents. Après avoir posé les diagnostics relevant de la médecine interne, le Dr F______ a indiqué s’agissant de la capacité de travail qu’après correction de l'anémie et des diverses carences, l'évolution avait été favorable. Durant son hospitalisation, la recourante avait manifesté un hémisyndrome douloureux et moteur de l'hémicorps gauche, qui avait nécessité une longue prise en charge qui se poursuivait. Les progrès étaient lents, mais importants puisqu'elle se déplaçait sans aide et qu’elle était autonome. La capacité de travail dans l’activité habituelle était de 100%, soit huit heures trente par jour, hormis durant trois mois dès février 2018. Il n’y avait pas de limitation fonctionnelle significative.</w:t>
      </w:r>
    </w:p>
    <w:p>
      <w:r>
        <w:rPr>
          <w:b/>
        </w:rPr>
        <w:t>E. 12.3</w:t>
      </w:r>
    </w:p>
    <w:p>
      <w:r>
        <w:t>Dans le cadre de l’expertise psychiatrique, la Dre G______ a rapporté que l’assurée ne se disait pas vraiment triste, mais plutôt préoccupée. Elle était encore motivée par ses filles, sa mère, ses chiens, sa formation, elle ressentait encore du plaisir. Elle se plaignait de fatigue fréquente. Elle ne verbalisait pas d'idées noires, de troubles de la concentration, de modifications sur le plan psychomoteur, de troubles de l'appétit. L’anamnèse retrouvait des ruminations anxieuses, adaptées,</w:t>
      </w:r>
    </w:p>
    <w:p>
      <w:r>
        <w:t>A/1642/2022 - 17/22 - centrées sur son avenir professionnel et sanitaire, mais pas d’autre trouble de cet ordre. L’entretien révélait essentiellement des traits anxieux et obsessionnels (hyperinvestissement professionnel). L’experte a posé les diagnostics non incapacitants de trouble de l'adaptation avec réaction mixte anxieuse et dépressive (F 43.22), survenu dans les suites de l’incapacité de travail de 2018, et réactivé par le licenciement de février 2020, en rémission depuis septembre 2020 ; et de trouble moteur dissociatif (F 44.4), retenu eu égard aux manifestations neurologiques concernant la motricité sans trouble somatique pouvant les expliquer, depuis l’hospitalisation et sans rémission à ce jour. Elle a exclu les diagnostics de syndrome douloureux somatoforme persistant (F 45.4), en l'absence de détresse psychique engendrée par la symptomatologie douloureuse, ainsi que celui de personnalité paranoïaque. On ne retrouvait pas les critères de la CIM-10 de ce trouble, en particulier pas de sensibilité excessive, pas de caractère soupçonneux, pas de surévaluation de sa propre importance et pas de tendance conspirationnelle. De plus, la recourante ne décrivait aucune difficulté interpersonnelle, notamment dans le domaine professionnel, classiquement retrouvée dans une telle atteinte. L’experte psychiatre s’est également prononcée sur les critères jurisprudentiels relatifs au caractère incapacitant de troubles psychiques. Dans ce cadre, elle a souligné que la personnalité ne présentait pas de particularité. Il n’y avait pas d'incohérences entre les plaintes psychiques de la recourante et les données de l'examen clinique. Il n'y avait pas lors de l'entretien d'éléments en faveur d'une majoration des symptômes. En ce qui concernait les ressources, elles étaient globalement bonnes. On n'identifiait pas de difficultés de communication, d'adaptation et de flexibilité mentale, d'évaluation et de résolution de problèmes, d'endurance et d'organisation. La recourante bénéficiait de l'étayage de sa famille, soit ses filles, sa mère et son frère. La Dre G______ a conclu à une pleine capacité de travail dans l’activité habituelle depuis septembre 2020, date de rémission des troubles retenus. Bien qu'il n'y ait pas de limitations fonctionnelles retenues dans l’activité habituelle, on pouvait conseiller, afin d'améliorer le pronostic de retour à l'emploi, de ne pas reprendre un emploi dans la vente. En effet, la recourante reliait ses problèmes somatiques à un surmenage professionnel dans cette activité. L'activité d'assistante en ressources humaines paraissait adaptée, à plein temps.</w:t>
      </w:r>
    </w:p>
    <w:p>
      <w:r>
        <w:rPr>
          <w:b/>
        </w:rPr>
        <w:t>E. 12.4</w:t>
      </w:r>
    </w:p>
    <w:p>
      <w:r>
        <w:t>Dans leur évaluation consensuelle, les experts ont admis une incapacité de travail totale en raison essentiellement des atteintes psychiques jusqu’en septembre 2020. Le SMR a amendé ces conclusions, en ce sens qu’il a repris l’exigibilité de 50% dans une activité adaptée admise par la Dre D______ dès septembre 2019.</w:t>
      </w:r>
    </w:p>
    <w:p>
      <w:r>
        <w:rPr>
          <w:b/>
        </w:rPr>
        <w:t>E. 12.5</w:t>
      </w:r>
    </w:p>
    <w:p>
      <w:r>
        <w:t>Les médecins ont pris connaissance de l’ensemble du dossier de l’intimé, qu’ils ont complété en sollicitant plusieurs documents radiologiques qui n’y avaient pas été versés. Ils ont relaté de manière fouillée l’anamnèse de la recourante, qu’ils ont interrogée sur ses plaintes, avant de procéder à des examens</w:t>
      </w:r>
    </w:p>
    <w:p>
      <w:r>
        <w:t>A/1642/2022 - 18/22 - cliniques dont ils ont détaillé les résultats. Leurs diagnostics sont motivés et leurs conclusions sont claires. Ils ont en outre procédé à une appréciation consensuelle du cas. Partant, au plan formel, l’expertise contient tous les éléments nécessaires pour se voir reconnaître une pleine valeur probante.</w:t>
      </w:r>
    </w:p>
    <w:p>
      <w:r>
        <w:rPr>
          <w:b/>
        </w:rPr>
        <w:t>E. 12.5.1</w:t>
      </w:r>
    </w:p>
    <w:p>
      <w:r>
        <w:t>Au plan somatique, il n’existe pas de rapport médical justifiant que l’on retienne la persistance d’une incapacité de travail au-delà de septembre 2019. Cela correspond en effet au rapport de la Dre C______, qui admettait une pleine capacité dans une activité adaptée dès août 2019 – étant souligné que la Dre B______ estimait que la réinsertion devait être discutée en octobre 2018 déjà. La Dre C______ est par la suite revenue sur cette évaluation dans son certificat du 9 décembre 2021, faisant état d’une capacité de travail de 50%. Toutefois, dans la mesure où elle n’a donné aucune explication sur cette seconde appréciation, qui n’est étayée par aucun nouveau diagnostic que les experts auraient ignoré, ce certificat ne suffit pas à mettre en doute la capacité de travail admise par ceux-ci. L’infection au COVID survenue en mai 2021 n’a pas non plus donné lieu à une incapacité de travail durable, puisque la recourante a uniquement signalé à l’intimé un arrêt de travail jusqu’au 14 juillet 2021.</w:t>
      </w:r>
    </w:p>
    <w:p>
      <w:r>
        <w:rPr>
          <w:b/>
        </w:rPr>
        <w:t>E. 12.5.2</w:t>
      </w:r>
    </w:p>
    <w:p>
      <w:r>
        <w:t>Du point de vue psychique, la Dre D______ atteste une capacité de travail de 50%, qu’elle impute au diagnostic de personnalité paranoïaque. On doit en premier lieu souligner que l’experte psychiatre a bien motivé les raisons pour lesquelles elle ne retenait pas cette atteinte. Dans son rapport du 19 décembre 2020, la Dre D______ se contente de faire valoir que la durée d’une expertise serait insuffisante pour détecter un tel trouble, et reproche implicitement à sa consœur de ne pas avoir pris connaissance de ses notes de consultation, lesquelles contiendraient de nombreux exemples de manifestations paranoïaques. Sur les obligations de la Dre G______ de prendre contact avec la psychiatre traitante, il suffit de rappeler que dans les limites du mandat confié, la conduite de l'expertise, soit les modalités de l'examen clinique et le choix des examens complémentaires, est laissée au libre arbitre de l'expert (arrêt du Tribunal fédéral 9C 538/2009 du 8 janvier 2010 consid. 3.3). Par ailleurs, sur le fond, on constate que si la psychiatre traitante a réitéré le diagnostic de personnalité paranoïaque dans ses différents rapports, elle n’en a jamais évoqué de symptômes concrètement observés. Les caractéristiques de la personnalité paranoïaque décrites par la Dre D______ dans son rapport du 3 juillet 2020 sont la méfiance et une attitude soupçonneuse et hostile, manifestée par une virulence déclarée, par des plaintes répétées ou par une réserve sourde et hostile, qui handicaperaient selon elle la recourante dans ses relations. Or, aucun des médecins ou des intervenants ayant suivi la recourante à moyen ou long terme, notamment au cours de son hospitalisation, n’a rapporté une attitude hostile ou une défiance de sa part. Aucune difficulté relationnelle n’est signalée avec l’entourage de la recourante, qui peut compter sur son cercle familial. On relève aussi que la recourante a eu une vie professionnelle stable jusqu’à l’atteinte</w:t>
      </w:r>
    </w:p>
    <w:p>
      <w:r>
        <w:t>A/1642/2022 - 19/22 - survenue en 2018, alors même qu’un trouble de la personnalité paranoïaque – et partant son incidence sur la capacité de travail – remontent généralement à l'adolescence selon l'expérience médicale (arrêt du Tribunal fédéral 9C_371/2008 du 2 février 2009 consid. 2.4). Aucun problème de cet ordre n’est non plus relevé dans le rapport de stage de I______ du 14 juillet 2021, lequel n’émet aucune critique sur le comportement de la recourante. Les échanges que celle-ci a eus avec la psychologue du service de réadaptation de l’intimé sont par ailleurs tous courtois et parfaitement adaptés au contexte, sans trace de la moindre animosité, attitude vindicative ou expression d’un sentiment de persécution. On peut en particulier noter que ladite psychologue a expressément indiqué dans une note du 13 mai 2020 qu’elle avait interpellé le case manager en charge du dossier de la recourante pour l’assurance-maladie sur ce diagnostic. Ce dernier, ancien infirmier en psychiatrie, lui aurait répondu n’avoir perçu aucune attitude de paranoïa chez la recourante. Les experts ont eux aussi décrit la bonne collaboration et l’ouverture de la recourante. Compte tenu de l’ensemble de ces éléments, l’avis isolé de la Dre D______ quant au diagnostic de personnalité paranoïaque, qu’aucun indice extérieur n’étaye, ne convainc pas. On ne saurait ainsi se rallier à l’incapacité de travail de 50% induite par ce trouble selon la psychiatre traitante. Par ailleurs, contrairement à ce qu'affirme la recourante, les médecins ont bien procédé à une analyse des critères dégagés par la jurisprudence pour admettre le caractère incapacitant d'un trouble sans étiologie claire, puisqu'ils ont décrit les aspects particuliers de la personnalité, les incohérences éventuelles et les ressources de la recourante. En ce qui concerne en particulier ces ressources, elles sont également notées par la psychiatre traitante dans ses rapports du 15 juin 2018 du 3 juillet 2020. Enfin, le diagnostic de fibromyalgie a bien été évoqué par le Dr F______. Les lacunes relatées dans le rapport de stage du 14 juillet 2021 ne suffisent pas à remettre en cause l'aptitude à la reprise de la recourante. En effet, les oublis et la nécessité de prendre des notes qui y sont mentionnés – qui peuvent au demeurant s'expliquer notamment par le fait qu'il s'agit d'une nouvelle activité dans laquelle la recourante ne dispose d'aucune expérience – ne sont pas imputables à une atteinte médicale, en l’absence de tout trouble cognitif actuel. On doit également relever que ce rapport est globalement positif, et que les progrès de la recourante y ont été notés. Il n'est d'ailleurs pas anodin de souligner que I______ a accepté de prolonger ce stage, et que selon la note de l’intimé du 15 juillet 2021, les responsables du stage ont indiqué qu’ils avaient eu l'impression que le taux de travail aurait pu être augmenté.</w:t>
      </w:r>
    </w:p>
    <w:p>
      <w:r>
        <w:rPr>
          <w:b/>
        </w:rPr>
        <w:t>E. 12.6</w:t>
      </w:r>
    </w:p>
    <w:p>
      <w:r>
        <w:t>Eu égard à ce qui précède, on renoncera, par appréciation anticipée des preuves (arrêt du Tribunal fédéral 8C_253/2020 du 12 novembre 2020 consid. 3.2), à procéder aux mesures d’instruction requises par la recourante.</w:t>
      </w:r>
    </w:p>
    <w:p>
      <w:r>
        <w:t>A/1642/2022 - 20/22 - On s’en tiendra ainsi aux conclusions du SMR du 9 décembre 2020, qui, se fondant sur les avis des experts et de la Dre D______, a admis une capacité de travail nulle dans toute activité de février 2018 à septembre 2019, puis de 50% dès septembre 2019 à septembre 2020, la recourante étant en mesure d’exercer son activité habituelle.</w:t>
      </w:r>
    </w:p>
    <w:p>
      <w:r>
        <w:rPr>
          <w:b/>
        </w:rPr>
        <w:t>E. 13</w:t>
      </w:r>
    </w:p>
    <w:p>
      <w:r>
        <w:t>Il reste à examiner le calcul du degré d’invalidité auquel a procédé l’intimé dès septembre 2019, le degré d’invalidité total de février 2018 jusqu’à cette date étant admis.</w:t>
      </w:r>
    </w:p>
    <w:p>
      <w:r>
        <w:rPr>
          <w:b/>
        </w:rPr>
        <w:t>E. 13.1</w:t>
      </w:r>
    </w:p>
    <w:p>
      <w:r>
        <w:t>Pour le revenu sans invalidité, l’intimé a retenu un montant de CHF 59'078.- en 2019. Ce revenu est légèrement supérieur au salaire communiqué par l’employeur pour 2018 (CHF 58'500.-), même compte tenu de l’indexation. On ne s’en écartera ainsi pas.</w:t>
      </w:r>
    </w:p>
    <w:p>
      <w:r>
        <w:rPr>
          <w:b/>
        </w:rPr>
        <w:t>E. 13.2</w:t>
      </w:r>
    </w:p>
    <w:p>
      <w:r>
        <w:t>S’agissant du revenu sans invalidité, l’intimé s’est fondé sur le revenu statistique tiré d’activités simples et répétitives selon l’ESS, soit CHF 4'371.- par mois et CHF 54'681.- par an. On notera que ce revenu est plus favorable que celui de CHF 4'511.- correspondant à une activité de niveau 2 dans le commerce de détail selon l’ESS 2018 (TA1_skill_level), auquel la recourante pourrait également prétendre au vu de son CFC de vendeuse. Une activité simple et répétitive lui procurerait un revenu de CHF 27'340.50 à 50%. La comparaison des revenus avant et après invalidité aboutit ainsi à 54.37%, ce qui donne droit à une demi-rente. Compte tenu de la capacité de travail totale que la recourante a recouvrée en septembre 2020, la comparaison du revenu avant invalidité de CHF 59'617.- (CHF 58'500.- indexé) et du revenu après invalidité de CHF 55'725.-, correspondant au salaire statistique tiré d’activités simples et répétitives une fois indexé et adapté à la durée normale de travail en 2020, aboutit à une perte de gain de 6.53%, insuffisante pour ouvrir le droit à une rente. On notera que l’intimé est resté dans les limites de son pouvoir d’appréciation en ne tenant compte d’aucun abattement sur le revenu d’invalide. En effet, une telle réduction ne se justifie pas au vu des circonstances, notamment de l’absence de limitations fonctionnelles et de la capacité de travail complète. La chambre de céans n’a ainsi pas à substituer son appréciation à celle de l’autorité.</w:t>
      </w:r>
    </w:p>
    <w:p>
      <w:r>
        <w:rPr>
          <w:b/>
        </w:rPr>
        <w:t>E. 13.3</w:t>
      </w:r>
    </w:p>
    <w:p>
      <w:r>
        <w:t>C’est ainsi à juste titre que l’intimé a alloué une rente entière dès la fin du délai de carence d’une année prévu à l’art. 28 LAI, puis une demi-rente à la recourante trois mois après l’amélioration de son état de santé en septembre 2019, et qu’il l’a supprimée trois mois après que celle-ci a pleinement recouvré sa capacité de travail. Sa décision doit ainsi être confirmée en tant qu’elle porte sur le droit à la rente.</w:t>
      </w:r>
    </w:p>
    <w:p>
      <w:r>
        <w:rPr>
          <w:b/>
        </w:rPr>
        <w:t>E. 14</w:t>
      </w:r>
    </w:p>
    <w:p>
      <w:r>
        <w:t>La recourante conclut également à l’octroi de mesures d’ordre professionnel.</w:t>
      </w:r>
    </w:p>
    <w:p>
      <w:r>
        <w:t>A/1642/2022 - 21/22 - En premier lieu, il faut souligner que de telles mesures sont en principe inutiles, dès lors que la capacité médico-théorique de la recourante dans son activité habituelle est redevenue entière. De plus, son degré d’invalidité n’ouvre pas le droit à des mesures de reclassement. Enfin, elle a déjà bénéficié de telles mesures, sous forme d’un coaching afin de cibler une piste professionnelle. Il n’est à cet égard pas inutile de relever que selon la note de l’intimé du 19 octobre 2021, si la motivation de la recourante n’était pas mise en cause, celle-ci n’avait pas collaboré de manière optimale avec le coach, à qui elle ne soumettait pas ses lettres de motivation avant leur envoi et aux courriers duquel elle ne répondait pas systématiquement. Elle avait par ailleurs décidé de manière autonome de faire une formation de gestionnaire en ressources humaines et avait requis la prise en charge par l’intimé après avoir trouvé un stage à I______. Ces démarches démontrent qu’en toute hypothèse, la recourante n’a guère besoin de soutien pour définir un projet professionnel, ni d’une aide au placement. Le refus de mesures professionnelles prononcé par l’intimé est ainsi également conforme au droit.</w:t>
      </w:r>
    </w:p>
    <w:p>
      <w:r>
        <w:rPr>
          <w:b/>
        </w:rPr>
        <w:t>E. 15</w:t>
      </w:r>
    </w:p>
    <w:p>
      <w:r>
        <w:t>Mal fondé, le recours est rejeté. La recourante, qui succombe, n’a pas droit à des dépens. La procédure en matière d’octroi de prestations d’assurance-invalidité n’étant pas gratuite (art. 69 al. 1bis LAI), elle supporte l’émolument de procédure de CHF 200.-</w:t>
      </w:r>
    </w:p>
    <w:p>
      <w:r>
        <w:t>A/1642/2022 - 22/22 -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