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ATAS/400/2020 vom 27. Februar 2019</w:t>
      </w:r>
    </w:p>
    <w:p>
      <w:r>
        <w:t>GE Cour de justice, 2019-02-27, FR</w:t>
      </w:r>
    </w:p>
    <w:p>
      <w:r>
        <w:rPr>
          <w:b/>
        </w:rPr>
        <w:t xml:space="preserve">Quelle: </w:t>
      </w:r>
      <w:r>
        <w:t>https://mcp.opencaselaw.ch/entscheid/ge_gerichte_ATAS_400_2020</w:t>
      </w:r>
    </w:p>
    <w:p>
      <w:r>
        <w:t>FR: GE_GERICHTE ATAS/400/2020 du 27 février 2019</w:t>
      </w:r>
    </w:p>
    <w:p>
      <w:r>
        <w:t>IT: GE_GERICHTE ATAS/400/2020 del 27 febbraio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- 6/12 – _______________________________________________________________</w:t>
      </w:r>
    </w:p>
    <w:p>
      <w:r>
        <w:t>A/3605/2019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3</w:t>
      </w:r>
    </w:p>
    <w:p>
      <w:r>
        <w:t>Le litige porte sur la question de savoir si c’est à juste titre que l’intimé a suspendu l’examen de la demande de prestations déposée par le SPAd au nom de l’assuré.</w:t>
      </w:r>
    </w:p>
    <w:p>
      <w:r>
        <w:rPr>
          <w:b/>
        </w:rPr>
        <w:t>E. 4</w:t>
      </w:r>
    </w:p>
    <w:p>
      <w:r>
        <w:t>Aux termes de l’art. 28 al. 2 LPGA, celui qui fait valoir son droit à des prestations doit fournir gratuitement tous les renseignements nécessaires pour établir ce droit et fixer les prestations dues. Selon l’art. 12 al. 1 LPC, le droit à une prestation complémentaire annuelle prend naissance le premier jour du mois au cours duquel la demande est déposée, pour autant que toutes les conditions légales soient remplies. L’art. 20 al. 1 de l’ordonnance sur les prestations complémentaires à l’assurance- vieillesse, survivants et invalidité du 15 janvier 1971 (OPC-AVS/AI - RS 831.301) précise que la personne qui veut faire valoir un droit à une prestation complémentaire annuelle doit déposer une demande écrite, comme le prévoit, dans le domaine de l’AVS, l’art. 67 al. 1 du règlement sur l’assurance-vieillesse et survivants du 31 octobre 1947 (RAVS - RS 831.101), que l’art. 20 al. 1 phr. 2 OPC-AVS/AI déclare applicable par analogie et à teneur duquel l’ayant droit, pour faire valoir son droit à une rente ou à une allocation pour impotent, doit remettre une formule de demande dûment remplie à la caisse de compensation compétente. Les mêmes règles valent pour les PCC (art. 1A al. 1 let. b et art. 18 al. 1 LPCC , art. 9 al. 1 du règlement relatif aux prestations cantonales complémentaires à l'assurance-vieillesse et survivants et à l’assurance-invalidité du 25 juin 1999 - RPCC-AVS/AI - J 4 25.03). Ces dispositions expriment le principe que les prestations d’assurances sociales ne sont servies qu’à la demande de l’ayant droit (Michel VALTERIO, Commentaire de la loi fédérale sur les prestations complémentaires à l’AVS et à l’AI, 2015, n. 1 ad art. 12). Une règle similaire figure à l’art. 29 al. 1 LPGA, à teneur duquel celui qui fait valoir son droit à des prestations doit s’annoncer à l’assureur compétent, dans la forme prescrite pour l’assurance sociale concernée, disposition qui – à défaut de dérogation expresse prévue à cet égard par la LPC – trouve aussi application en matière de PC (art. 1 al. 1 LPGA ; art. 1A al. 1 let. b LPCC).</w:t>
      </w:r>
    </w:p>
    <w:p>
      <w:r>
        <w:rPr>
          <w:b/>
        </w:rPr>
        <w:t>E. 5</w:t>
      </w:r>
    </w:p>
    <w:p>
      <w:r>
        <w:t>Selon les Directives de l’Office fédéral des assurances sociales (OFAS) concernant les prestations complémentaires (DPC), n°1110.02, si l’assuré fait valoir son droit par une demande écrite ne répondant pas aux exigences formelles exposées ci-</w:t>
      </w:r>
    </w:p>
    <w:p>
      <w:r>
        <w:t>- 7/12 – _______________________________________________________________</w:t>
      </w:r>
    </w:p>
    <w:p>
      <w:r>
        <w:t>A/3605/2019 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(RCC 1989 p. 48 consid. 2). Si le délai susindiqué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pas entrer en ligne de compte (DPC no1110.03). Le droit à une PC annuelle prend naissance, la première fois, le mois où la demande est déposée munie de toutes les informations et autres documents utiles (v. no 1110.02) et où sont remplies toutes les conditions légales auxquelles il est subordonné (DPC n°2121.01). 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À défaut, le droit à la PC ne peut prendre naissance pour la première fois qu’à partir du mois où l’organe PC est en possession de la demande correcte et de toutes les informations et autres documents utiles (DPC no 2121.02).</w:t>
      </w:r>
    </w:p>
    <w:p>
      <w:r>
        <w:rPr>
          <w:b/>
        </w:rPr>
        <w:t>E. 6</w:t>
      </w:r>
    </w:p>
    <w:p>
      <w:r>
        <w:t>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w:t>
      </w:r>
    </w:p>
    <w:p>
      <w:r>
        <w:t>- 8/12 – _______________________________________________________________</w:t>
      </w:r>
    </w:p>
    <w:p>
      <w:r>
        <w:t>A/3605/2019 Kommentar zum Bundesgesetz über den Allgemeinen Teil des Sozialversicherungsrechts vom 6. Oktober 2000, 3ème éd. 2015, n. 51 ad art. 92). Dans un arrêt du 8 octobre 2013, la chambre de céans a eu l’occasion de considérer que l’on ne pouvait reprocher à un assuré de n’avoir été ni en mesure de réunir les documents demandés, ni d’en confier la tâche à une personne de confiance, parce qu’il vivait reclus dans son appartement, coupé de tout contact social et souffrait de troubles obsessionnels compulsifs (TOC) gravissimes pour lesquels il avait été mis au bénéfice d’une rente entière d’invalidité (ATAS/982/2013).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 Au plan cantonal, conformément à l’art. 11 al. 3 LPCC, le service peut suspendre ou supprimer le versement de la prestation lorsque le bénéficiaire refuse de fournir ou tarde à remettre les renseignements demandés. Cette disposition a une portée analogue à l’art. 43 al. 3 LPGA, à la nuance près qu’elle n’exige pas que le comportement de l’assuré soit inexcusable et ne prévoit pas – ce qui résulte néanmoins des principes de la proportionnalité et de la bonne foi – que l’assuré doit avoir été mis en demeure de produire certains renseignements et documents nécessaires à l’examen du droit aux PCC. L’art. 43 al. 3 LPGA s’appliquerait aux PCC, en vertu de l’art. 1A al. 1 let. b LPCC, s’il fallait considérer qu’il y a silence de la LPCC sur ces modalités d’application de l’art. 11 al. 3 LPCC.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w:t>
      </w:r>
    </w:p>
    <w:p>
      <w:r>
        <w:rPr>
          <w:b/>
        </w:rPr>
        <w:t>E. 8</w:t>
      </w:r>
    </w:p>
    <w:p>
      <w:r>
        <w:t>En l'espèce, le SPAd, agissant pour le compte de l’assuré, a déposé la demande de prestations auprès du SPC le 28 février 2019, selon le tampon dateur du SPC. Par décision du 8 juillet 2019, confirmée le 22 août 2019, le SPC a constaté qu’à l’échéance du délai d’instruction de trois mois prévu par les DPC susmentionnées,</w:t>
      </w:r>
    </w:p>
    <w:p>
      <w:r>
        <w:t>- 9/12 – _______________________________________________________________</w:t>
      </w:r>
    </w:p>
    <w:p>
      <w:r>
        <w:t>A/3605/2019 l’assuré n’avait pas transmis la totalité des justificatifs réclamés et a, par conséquent, suspendu l’examen de sa demande de prestations. La chambre de céans rappellera, s'agissant des directives, que les instructions de l'administration, en particulier de l'autorité de surveillance, ont valeur de simple ordonnance administrative ; elles ne créent pas de nouvelles règles de droit ; elles ne donnent que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ATFA non publié I 174/03 du 28 décembre 2004 consid. 4.4). De plus, l'administré ne peut se voir imposer d'obligations sur la seule base d'une ordonnance administrative interprétative et ne saurait non plus en tirer un droit (Pierre MOOR, Droit administratif, vol. I, 3ème éd., Berne 2012, p. 428, n. 2.8.3.3). Or, le délai de péremption de trois mois fixé dans ces directives n'est pas prévu dans la loi. L'art. 43 LPGA ne prévoit aucune période maximale pour réunir les documents nécessaires au traitement de demandes de prestations. La LPC et l'ordonnance d'exécution ne contiennent pas non plus de tel délai. Partant, les directives excèdent le cadre légal en tant qu'elles prévoient la forclusion des prétentions des assurés n'ayant pas fourni tous les documents utiles dans les trois mois suivant leur demande. L'art. 43 al. 3 LPGA dispose certes qu'un délai convenable doit être imparti à l'assuré. Cette disposition ne constitue cependant pas une base légale suffisante pour fixer de manière forfaitaire dans les directives un délai de trois mois applicable à toutes les demandes, sans que ne soient prises en considération les circonstances particulières de chaque cas (ATAS/894/2019 consid. 8c.). La décision de non entrée en matière qui peut être rendue après mise en demeure conformément à l'art. 43 al. 3 LPGA, suppose en outre que ce soit de manière inexcusable que l'assuré n'ait pas donné suite aux mesures d'instruction de l'assurance. Dans la mesure où les directives ne reprennent pas cette condition, elles ne sont pas conformes au droit. En suspendant l’examen de la demande, au motif que des documents manquaient, le SPC a, ce faisant, pris une décision de non entrée en matière s'agissant de la demande déposée le 27 février 2019. Il place en effet l'assuré dans la situation qui aurait été la sienne s'il avait rendu une décision de non entrée en matière et oblige l'assuré à déposer une nouvelle demande, de sorte que celui-ci perd le bénéfice de sa première annonce (cf. à cet égard ATAS/1054/2012). Il est vrai que les directives concernant les prestations nos 1110.02-03 prévoient que l'éventuel droit à des prestations complémentaires ne peut prendre naissance que dès le premier jour du mois au cours duquel toutes les informations et documents indispensables à l'établissement du calcul des prestations sont communiqués. Force est toutefois de</w:t>
      </w:r>
    </w:p>
    <w:p>
      <w:r>
        <w:t>- 10/12 – _______________________________________________________________</w:t>
      </w:r>
    </w:p>
    <w:p>
      <w:r>
        <w:t>A/3605/2019 constater que cette dérogation à l'art. 12 al. 1 LPC revêt le caractère d'une sanction intimement liée à une décision de non entrée en matière. Or, le SPC ne peut agir de la sorte que si un refus de collaboration inexcusable peut être imputé à l'assuré.</w:t>
      </w:r>
    </w:p>
    <w:p>
      <w:r>
        <w:rPr>
          <w:b/>
        </w:rPr>
        <w:t>E. 9</w:t>
      </w:r>
    </w:p>
    <w:p>
      <w:r>
        <w:t>Il s’ensuit que l’on doit examiner si l’exception d’un refus de collaboration inexcusable de la part de l’assuré est réalisée dans le cas d’espèce. La chronologie des faits montre que ce n’est que le 7 février 2019, que l’OAI a rendu une décision par laquelle une rente entière était allouée à l’assuré, pour une invalidité de 100%, à compter du 1er juin 2014. Le 27 février 2019, soit vingt jours plus tard, le SPAd a déposé la demande de prestations complémentaires ; ce délai ne prête pas le flanc à la critique. Le SPC a demandé, par courrier du 22 mars 2019, une longue liste de documents complémentaires à laquelle le SPAd n’a donné suite que le 4 juin 2019, soit environ deux mois et demi plus tard. Ce délai est certes long, mais si l’on considère le grand nombre de documents demandés on ne peut pas juger le délai de réponse comme démontrant un refus de collaboration inexcusable de la part de l’intéressé. Ce d’autant moins que le SPC a attendu plus d’un mois après avoir reçu les documents demandés (le 4 juin 2019) pour rendre une décision de suspension (le 8 juillet 2019), alors qu’il était en possession de l’intégralité des documents et informations lui permettant de traiter le cas, à l’exception de la décision de renouvellement de l’autorisation de séjour. Sur ce dernier point, il convient de rappeler que le SPAd a communiqué, avec son premier envoi du 27 février 2019, les documents démontrant que la demande de renouvellement avait été déposée en date du 16 juillet 2018, auprès de l’OCPM et que ce dernier avait répondu, par email du 25 janvier 2019 que le dossier était actuellement en traitement et qu’au vu des nombreuses demandes, les délais habituels pour se déterminer pouvaient se prolonger. Dès lors, le retard dans la transmission de l’autorisation de séjour ne peut pas être imputé à l’assuré, mais à l’OCPM. Etant précisé qu’au vu du dossier, de l’âge et de la situation de l’assuré, aucun élément ne permet d’imaginer, prima facie, que l’autorisation de séjour pourrait être refusée par l’OCPM, ce dont le SPC devra tenir compte lorsqu’il rendra sa décision sur le fond et fixera la date de commencement du droit aux prestations. Force est de constater que le SPAd a ainsi largement démontré qu’il était prêt à collaborer. On ne saurait dans ces conditions reprocher au SPAd ou à l’assuré un manque de diligence. Etant rappelé que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w:t>
      </w:r>
    </w:p>
    <w:p>
      <w:r>
        <w:t>- 11/12 – _______________________________________________________________</w:t>
      </w:r>
    </w:p>
    <w:p>
      <w:r>
        <w:t>A/3605/2019 Le SPC semble d’ailleurs s’en être rendu compte, dès lors qu’il s’en est rapporté à justice dans sa dernière écriture.</w:t>
      </w:r>
    </w:p>
    <w:p>
      <w:r>
        <w:rPr>
          <w:b/>
        </w:rPr>
        <w:t>E. 10</w:t>
      </w:r>
    </w:p>
    <w:p>
      <w:r>
        <w:t>Aussi le recours est-il admis, en ce sens que le SPC n’était pas en droit de suspendre la demande de prestations complémentaires déposée par le SPAd au nom de l’assuré en date du 27 février 2019.</w:t>
      </w:r>
    </w:p>
    <w:p>
      <w:r>
        <w:rPr>
          <w:b/>
        </w:rPr>
        <w:t>E. 11</w:t>
      </w:r>
    </w:p>
    <w:p>
      <w:r>
        <w:t>Ni le SPAd, qui bénéficie d’un service juridique, ni l’assuré n’ayant eu recours à l’assistance d’un avocat, aucun dépens ne leur sera alloué.</w:t>
      </w:r>
    </w:p>
    <w:p>
      <w:r>
        <w:rPr>
          <w:b/>
        </w:rPr>
        <w:t>E. 12</w:t>
      </w:r>
    </w:p>
    <w:p>
      <w:r>
        <w:t>Pour le surplus, la procédure est gratuite.</w:t>
      </w:r>
    </w:p>
    <w:p>
      <w:r>
        <w:t>- 12/12 – _______________________________________________________________</w:t>
      </w:r>
    </w:p>
    <w:p>
      <w:r>
        <w:t>A/3605/2019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