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ATAS/39/2025 vom 22. Januar 2025</w:t>
      </w:r>
    </w:p>
    <w:p>
      <w:r>
        <w:t>GE Cour de justice, 2025-01-22, FR</w:t>
      </w:r>
    </w:p>
    <w:p>
      <w:r>
        <w:rPr>
          <w:b/>
        </w:rPr>
        <w:t xml:space="preserve">Quelle: </w:t>
      </w:r>
      <w:r>
        <w:t>https://mcp.opencaselaw.ch/entscheid/ge_gerichte_ATAS_39_2025</w:t>
      </w:r>
    </w:p>
    <w:p>
      <w:r>
        <w:t>FR: GE_GERICHTE ATAS/39/2025 du 22 janvier 2025</w:t>
      </w:r>
    </w:p>
    <w:p>
      <w:r>
        <w:t>IT: GE_GERICHTE ATAS/39/2025 del 22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2</w:t>
      </w:r>
    </w:p>
    <w:p>
      <w:r>
        <w:t>Le litige porte sur le droit de la recourante aux prestations de l’intimée au-delà du 31 décembre 2021.</w:t>
      </w:r>
    </w:p>
    <w:p>
      <w:r>
        <w:rPr>
          <w:b/>
        </w:rPr>
        <w:t>E. 3.1</w:t>
      </w:r>
    </w:p>
    <w:p>
      <w:r>
        <w:t>Aux termes de l'art. 6 al. 1 LAA, et sous réserve de dispositions spéciales de la loi, les prestations d'assurance sont allouées en cas d'accident professionnel, d'accident non professionnel et de maladie professionnelle.</w:t>
      </w:r>
    </w:p>
    <w:p>
      <w:r>
        <w:t>A/301/2024 - 6/15 -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(cf. art. 9 al. 1 LAA). Aux termes de l’art. 14 de l’ordonnance sur l’assurance-accidents du 20 décembre 1982 (OLAA - RS 832.202), les substances nocives et les maladies dues à certains travaux au sens de l’art. 9 al. 1 LAA sont énumérées à l’annexe 1. Selon l’al. 2 let. b de cette annexe 1, sont notamment réputées affections dues à certains travaux au sens de l’art. 9, al. 1, de la loi notamment les maladies infectieuses pour autant qu’elles aient été contractées lors de travaux dans des hôpitaux, des laboratoires, des instituts de recherches et établissements analogues. Selon la jurisprudence, l'exigence d'une relation prépondérante requise par l'art. 9 al. 1 LAA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 arrêt du Tribunal fédéral 8C_306/2014 du 27 mars 2015 consid. 3). Par ailleurs,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A/301/2024 - 7/15 -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consid. 3.2, ATF 125 V 456 consid. 5a ; SVR 2010 UV n° 30 consid. 5.2). L'exigence d'un rapport de causalité adéquate entre l'accident assuré et l'atteinte à la santé qui s'en est suivie, en tant que condition du droit aux prestations de l'assurance-accidents,</w:t>
      </w:r>
    </w:p>
    <w:p>
      <w:r>
        <w:t>A/301/2024 - 8/15 - vise à limiter la responsabilité de cette dernière (ATF 129 V 177 consid. 3.3, ATF 125 V 456 consid. 5c ; SVR 2017 UV n° 8 consid. 3.3).</w:t>
      </w:r>
    </w:p>
    <w:p>
      <w:r>
        <w:rPr>
          <w:b/>
        </w:rPr>
        <w:t>E. 3.2</w:t>
      </w:r>
    </w:p>
    <w:p>
      <w:r>
        <w:t>La question de savoir comment il y a lieu d'appréhender l'émergence d'une atteinte psychique en relation avec une maladie professionnelle (de nature somatique) doit être résolue selon le critère de la causalité adéquate. Selon le Tribunal fédéral (voir notamment ATF 125 V 456 consid. 5 ou arrêt du Tribunal fédéral 8C_154/2010 du 16 août 2010 consid. 3.3), la jurisprudence relative à la causalité adéquate en cas d'atteinte psychique consécutive à des accidents (ATF 115 V 133,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à savoir qu'il faut examiner si, d'après le cours ordinaire des choses et l'expérience de la vie, appréciés en fonction de la diversité des assurés pour lesquels l'assurance-accidents doit offrir sa protection, la maladie professionnelle, dans sa spécificité, était propre à entraîner des troubles psychiques du genre de ceux qui sont apparus (ATF 125 V 456 consid. 5e). À l'examen de la jurisprudence du Tribunal fédéral (exemples peu nombreux), il apparaît que notre Haute Cour a ainsi refusé de reconnaître sous l'angle de l'assurance-accidents et comme conséquence d'une maladie professionnelle (initiale), une dépression apparue chez une assurée victime de harcèlement à son nouveau poste de travail alors que ce changement d'emploi avait été imposé en raison d'une maladie professionnelle (asthme, allergies ; arrêt du Tribunal fédéral 8C_154/2010 du 16 août 2010 consid. 4), diverses phobies et un choc post- traumatique développés par un assuré en raison de deux chocs anaphylactiques graves survenus suite à une maladie professionnelle (multiples allergies, ATF 125 V 456 c. 5) ou encore divers troubles psychiques prétendument apparus suite à de l'arthrose dans le coude droit (arrêt du Tribunal fédéral 8C_620/2018 du 15 janvier 2019 consid. 4.3). Selon la définition donnée par l’Organisation mondiale de la santé, le 6 octobre 2021 (consensus de Delphi), une affection post COVID-19 survient après une infection très probable ou avérée par le SARS-CoV-2, généralement trois mois après que la COVID-19 s’est déclarée.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d’une COVID-19 aigüe ou perdurer au-delà de la durée de la maladie initiale. Ils peuvent être fluctuants ou récurrents. En mars 2022, le groupe de travail post COVID-19 - Médecine d'assurance, de l’Hôpital Universitaire de Bâle, a établi un projet de recommandation pour le bilan de médecine d'assurance d’une affection post COVID-19 en Suisse. Ce</w:t>
      </w:r>
    </w:p>
    <w:p>
      <w:r>
        <w:t>A/301/2024 - 9/15 - document a été soumis à l’assemblée annuelle de la Swiss insurance Medicine (SIM). Une deuxième version, intégrant les mises à jour scientifiques, a été publiée le 31 juillet 2023. Il ressort des deux versions de recommandations que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 COVID-19 peut se manifester par des symptômes très divers. De ce fait, en dehors de lésions organiques pour lesquelles elle peut être clairement incriminée, l’affection post COVID-19 est encore incomplètement comprise et s’avère multifactorielle. Il est toutefois établi que des séquelles de l’affection post 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 immune [chronique]), complications ORL (troubles aigus de l’odorat). Les pathologies préexistantes, telles que par exemple l’asthme, la fatigue chronique, les céphalées, la dyspnée ou encore les myalgies, accroissent le risque d’affection post 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 traumatique mais aussi de problèmes de dépendance. La place des facteurs</w:t>
      </w:r>
    </w:p>
    <w:p>
      <w:r>
        <w:t>A/301/2024 - 10/15 -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La CIM-11 comporte le code provisoire RA02, intitulé « Affection post-Covid- 19 », dont il ressort que l’affection post Covid-19 survient chez des personnes présentant des antécédents d’infection probable ou confirmée par le SARS-CoV- 2, généralement trois mois après l’apparition de la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matière de COVID long, le Groupe de travail post-COVID-19 recommande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la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 effort et de troubles cognitifs, après une forme de COVID-19 légère à éventuellement modérée, doivent faire l'objet d'un</w:t>
      </w:r>
    </w:p>
    <w:p>
      <w:r>
        <w:t>A/301/2024 - 11/15 - diagnostic différentiel méticuleux par un expert afin d'évaluer la causalité, le degré de gravité et donc la capacité de travail, ainsi que les options thérapeutiques. Le groupe de travail recommande donc un bilan interdisciplinaire, adossé au questionnaire EPOCA, composé d'une expertise de base et d'expertises complémentaires éventuelles pour les différents symptômes spécifiques (organes affectés) ainsi que d'une anamnèse liée au poste de travail, réalisée par un tiers. Si les symptômes persistent pendant plus de douze mois (ou en cas de convalescence après une forme grave, après la fin des mesures thérapeutiques), le groupe de travail préconise une expertise de base en médecine interne/infectiologie et en neurologie/neuropsychologie.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 COVID-19, des instruments bien établis, sensibles et spécifiques, instruments servant à vérifier objectivement la plausibilité des troubles dans le cas d’espèce et à déterminer le degré de sévérité des restrictions.</w:t>
      </w:r>
    </w:p>
    <w:p>
      <w:r>
        <w:rPr>
          <w:b/>
        </w:rPr>
        <w:t>E. 3.3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w:t>
      </w:r>
    </w:p>
    <w:p>
      <w:r>
        <w:t>A/301/2024 - 12/15 -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 renvoi à l’administration apparaît également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4.1</w:t>
      </w:r>
    </w:p>
    <w:p>
      <w:r>
        <w:t>En l’espèce, il n’est pas contesté par les parties que la recourante a souffert d’une maladie professionnelle depuis le 30 novembre 2020. Seul est litigieux son droit aux prestations de l’intimée au-delà du 31 décembre 2021 et la question de savoir si le statu quo sine a été atteint en décembre 2021 comme l’a retenu l’intimée en se fondant sur l’expertise du Dr J______. La recourante allègue que les troubles dont elle souffre font toujours partie du tableau du syndrome post-COVID et qu’ils sont encore en lien de causalité naturelle avec la maladie professionnelle admise par l’intimée.</w:t>
      </w:r>
    </w:p>
    <w:p>
      <w:r>
        <w:t>A/301/2024 - 13/15 - Il convient d’examiner la valeur probante de l’expertise du Dr J______. Il apparaît d’emblée que l’expertise ne correspond pas aux recommandations en matière de COVID long. En effet, à teneur de ces dernières, si les symptômes persistent pendant plus de douze mois, une expertise de base en médecine interne/infectiologie et en neurologie/neuropsychologie est préconisée. Or, en l’occurrence, les symptômes persistaient chez la recourante depuis plus de douze mois lors de l’expertise du Dr J______, en mars 2022, étant rappelé qu’elle a été testée positive à la COVID-19 le 30 novembre 2020. Il en résulte que son cas aurait dû faire l’objet d’un examen en neurologie/neuropsychologie. Par ailleurs, il est encore recommandé un volet pneumologique à l’expertise, en cas de dyspnée prolongée. Or, il ressort de l’expertise du Dr J______ que la recourante lui avait indiqué le 9 mars 2023 qu’elle présentait à nouveau des problèmes de dyspnée depuis trois semaines et qu’elle ne pouvait pas parler ni chanter en marchant. Un expert pneumologue aurait par conséquent dû examiner son cas. Selon le rapport établi le 15 mai 2024 par la Dre H______, l’affection post- COVID sans précision comportait des symptômes psychiatriques que l’on retrouvait chez l’assurée. Du point de vue psychiatrique, sa capacité de travail était de 0% dans son activité habituelle en lien avec l’affection post-COVID, en raison de sa fatigue, de ses troubles du sommeil et de ses troubles cognitifs, à type de troubles de l’attention et de la concentration, comme des troubles mnésiques. Le Dr J______ a indiqué le 29 mars 2023 qu’il y avait probablement des facteurs indépendants de « l’accident » qui jouaient un rôle dans le cas de l’assurée. La proximité temporelle entre un épisode d’épuisement professionnel survenu en juin 2020 et l’apparition des troubles neuropsychologiques dès décembre 2020 pouvait laisser penser qu’elle n’était pas pleinement remise lors de son infection au SARS-CoV2. Sur la base des éléments du dossier et de son examen, l’expert retenait que les troubles neuropsychologiques constatés étaient seulement possiblement en lien avec l’évènement accidentel, car des troubles psychiques entraient en considération. La chambre de céans relève à cet égard que le fait que la recourante présentait une vulnérabilité psychique avant sa contamination à la COVID-19 ne permet pas de considérer que l’atteinte psychique dont elle souffrait après sa contamination ne serait pas en rapport de causalité naturelle avec la COVID-19, puisque selon les recommandations du groupe de travail post COVID-19, chez les patients ayant développé une forme grave de COVID-19 mais aussi dans des cas d’infection légère à moyenne, des troubles psychiques notables ont été constatés, avec une incidence élevée de troubles anxieux, affectifs, et d’états de stress post- traumatique. Les difficultés individuelles de la vie quotidienne liées à la pandémie, en général et à la maladie (quarantaine, isolement, difficultés au travail, violence intrafamiliale en confinement, deuil et solitude) pouvaient non seulement</w:t>
      </w:r>
    </w:p>
    <w:p>
      <w:r>
        <w:t>A/301/2024 - 14/15 - provoquer des troubles psychiques (anxiété, dépression, stress post-traumatique, troubles fonctionnels) mais aggraver des troubles existants, en particulier chez les personnes présentant des vulnérabilités psychiques. Or, en application de l’art. 36 al. 1 LAA, les prestations de l’assurance-accidents ne sont pas réduites lorsque l'atteinte à la santé n'est que partiellement imputable à l'accident. Lorsqu'un état maladif préexistant est aggravé ou, de manière générale, apparaît consécutivement à un « accident », en l’occurrence une maladie professionnelle, le devoir de l'assurance-accidents d'allouer des prestations ne cesse que si l'accident ne constitue pas la cause naturelle (et adéquate) du dommage, soit lorsque ce dernier résulte exclusivement de causes étrangères à l'accident. II en résulte que le cas de la recourante devait faire l’objet d’un examen psychiatrique pour déterminer si la maladie professionnelle dont elle a souffert a eu un impact sur son état psychique et si oui, dans quelle mesure. Le cas de la recourante devait également faire l’objet d’un examen en rhumatologie, dès lors qu’elle souffrait, avant sa contamination, d’une spondylarthrite ankylosante qui a pu être aggravée par la COVID-19, selon le rapport de la Dre C______ du 4 octobre 2022, étant relevé que la Dre L______, qui la suivait pour ce diagnostic, a indiqué, le 16 février 2023, que la recourante avait présenté une recrudescence de douleurs articulaires avec un dérouillage matinal sur plusieurs mois dans un contexte de COVID long. Il résulte de ce qui précède que l’expertise du I______ ne peut se voir revêtir une pleine valeur probante et qu’une instruction complémentaire est nécessaire par le biais d’une expertise plurisdisciplinaire (médecine interne/infectiologie, neuro- logie/neuropsychologie, pneumologie, psychiatrie et rhumalogie).</w:t>
      </w:r>
    </w:p>
    <w:p>
      <w:r>
        <w:rPr>
          <w:b/>
        </w:rPr>
        <w:t>E. 5</w:t>
      </w:r>
    </w:p>
    <w:p>
      <w:r>
        <w:t>Au vu de ce qui précède, le recours est partiellement admis. La décision sur opposition du 12 décembre 2023 sera annulée et la cause sera renvoyée à l’intimée pour instruction complémentaire, au sens des considérants. La recourante obtenant partiellement gain de cause et étant assistée d’un avocat, une indemnité de CHF 2'500.- lui sera accordée, à titre de participation à ses frais et dépens (art. 61 let. g LPGA). Pour le surplus, la procédure est gratuite (art. 61 let. fbis LPGA).</w:t>
      </w:r>
    </w:p>
    <w:p>
      <w:r>
        <w:t>A/301/2024 - 15/15 -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