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ATAS/399/2021 vom 3. Mai 2021</w:t>
      </w:r>
    </w:p>
    <w:p>
      <w:r>
        <w:t>GE Cour de justice, 2021-05-03, FR</w:t>
      </w:r>
    </w:p>
    <w:p>
      <w:r>
        <w:rPr>
          <w:b/>
        </w:rPr>
        <w:t xml:space="preserve">Quelle: </w:t>
      </w:r>
      <w:r>
        <w:t>https://mcp.opencaselaw.ch/entscheid/ge_gerichte_ATAS_399_2021</w:t>
      </w:r>
    </w:p>
    <w:p>
      <w:r>
        <w:t>FR: GE_GERICHTE ATAS/399/2021 du 3 mai 2021</w:t>
      </w:r>
    </w:p>
    <w:p>
      <w:r>
        <w:t>IT: GE_GERICHTE ATAS/399/2021 del 3 maggio 2021</w:t>
      </w:r>
    </w:p>
    <w:p>
      <w:pPr>
        <w:pStyle w:val="Heading2"/>
      </w:pPr>
      <w:r>
        <w:t>Erwägungen</w:t>
      </w:r>
    </w:p>
    <w:p>
      <w:r>
        <w:rPr>
          <w:b/>
        </w:rPr>
        <w:t>E. 13</w:t>
      </w:r>
    </w:p>
    <w:p>
      <w:r>
        <w:t>Le 14 janvier 2019, l’OAI a rendu une décision d’octroi de rente d’invalidité limitée dans le temps et de refus de mesures professionnelles, motivation à l’appui. Les calculs étaient repris de ceux figurant dans le projet de décision, il en résultait un degré d’invalidité de 33% et un refus de mise en place de mesures professionnelles. S’agissant du calcul du revenu, l’OAI précisait qu’il s’agissait d’un revenu annuel moyen pris en compte durant toutes les années de cotisations et non pas d’un salaire précis à un instant donné, ce qui impliquait que le montant retenu pour le salaire sans invalidité n’avait pas été modifié.</w:t>
      </w:r>
    </w:p>
    <w:p>
      <w:r>
        <w:rPr>
          <w:b/>
        </w:rPr>
        <w:t>E. 14</w:t>
      </w:r>
    </w:p>
    <w:p>
      <w:r>
        <w:t>Par écriture du 15 février 2019, postée le même jour, le mandataire de l’assuré a interjeté recours contre la décision du 14 janvier 2019. Il était reproché à l’OAI d’avoir commis une erreur en retenant un revenu moyen sans atteinte à la santé de CHF 40'000.-, alors que selon le calcul établi pour la rente AVS, le revenu annuel moyen de l’assuré s’élevait à CHF 59'220.-. Il était encore reproché à l’intimé de</w:t>
      </w:r>
    </w:p>
    <w:p>
      <w:r>
        <w:t>- 5/27-</w:t>
      </w:r>
    </w:p>
    <w:p>
      <w:r>
        <w:t>A/616/2019 n’avoir pas tenu compte de la capacité de travail limité à 30% dès le 1er juillet 2018, comme cela ressortait du certificat médical établi par le médecin traitant. Il était mentionné que le médecin traitant pouvait être auditionné et qu’un complément d’expertise pouvait être demandé au précédent expert, soit le Dr B______. L’assuré concluait préalablement à l’audition du médecin traitant et à ce qu’un complément d’expertise soit ordonné afin de confirmer l’étendue exacte des atteintes à la santé du recourant, principalement, à l’annulation de la décision querellée et à ce qu’une nouvelle décision soit rendue par l’OAI dans le sens des considérants sous suite de frais et dépens.</w:t>
      </w:r>
    </w:p>
    <w:p>
      <w:r>
        <w:rPr>
          <w:b/>
        </w:rPr>
        <w:t>E. 15</w:t>
      </w:r>
    </w:p>
    <w:p>
      <w:r>
        <w:t>Par réponse du 18 mars 2019, l’OAI a conclu au maintien de sa décision, rappelant qu’il s’était fondé sur le rapport d’expertise du 23 mai 2016 pour établir la capacité de travail du recourant, ainsi que sur les chiffres résultant de la comptabilité des années 2013, 2014 et 2015 pour établir le revenu sans invalidité. L’OAI précisait que le montant de CHF 59'220.- concernait le revenu annuel moyen déterminant qui ne devait pas être confondu avec le revenu hypothétique sans invalidité. Étaient joints en annexe un avis médical du SMR daté du 14 mars 2019, par lequel le médecin-conseil de l’OAI notait que le médecin traitant de l’assuré avait retenu une incapacité de 70% allant du 1er juillet au 31 décembre 2018 dans son certificat du 5 novembre 2018, mais ne précisait pas les raisons de cette incapacité de travail et ne précisait pas non plus si cela concernait l’activité habituelle ou une activité adaptée. Dans son rapport du 11 septembre 2018, le même médecin traitant a indiqué que la situation était inchangée depuis son rapport du 15 juillet 2016 et que l’état de l’assuré était stationnaire. Il en résultait qu’il n’y avait pas de modification de l’état de santé depuis juillet 2018, moment où le médecin traitant de l’assuré avait attesté d’une diminution de la capacité de travail à 30%. En conclusion, le SMR maintenait son appréciation à savoir que l’assuré avait une capacité de travail de 50% dans une activité adaptée.</w:t>
      </w:r>
    </w:p>
    <w:p>
      <w:r>
        <w:rPr>
          <w:b/>
        </w:rPr>
        <w:t>E. 16</w:t>
      </w:r>
    </w:p>
    <w:p>
      <w:r>
        <w:t>Par réplique du 12 avril 2019, le recourant a persisté dans ses conclusions tout en demandant l’audition de son médecin traitant qui serait à même d’expliquer l’évolution de son état de santé. Il demandait également un complément d’expertise réalisée par le précédent expert, soit le Dr B______.</w:t>
      </w:r>
    </w:p>
    <w:p>
      <w:r>
        <w:rPr>
          <w:b/>
        </w:rPr>
        <w:t>E. 17</w:t>
      </w:r>
    </w:p>
    <w:p>
      <w:r>
        <w:t>Par courrier du 18 décembre 2019, la chambre de céans a informé les parties qu’elle envisageait de mandater un expert, proposant que ce dernier soit le Dr B______ qui semblait convenir aux deux parties.</w:t>
      </w:r>
    </w:p>
    <w:p>
      <w:r>
        <w:rPr>
          <w:b/>
        </w:rPr>
        <w:t>E. 18</w:t>
      </w:r>
    </w:p>
    <w:p>
      <w:r>
        <w:t>Par courrier du 15 janvier 2020, l’OAI a considéré qu’une expertise judiciaire n’était pas nécessaire, mais que si celle-ci était ordonnée, il s’opposait à ce qu’elle soit confiée au Dr B______, car ce dernier s’était entretenu avec l’assuré de sa situation assécurologique en date du 29 janvier 2019 et que, dès lors qu’il avait été sollicité par l’assuré, il ne pouvait pas être mandaté à titre d’expert.</w:t>
      </w:r>
    </w:p>
    <w:p>
      <w:r>
        <w:t>- 6/27-</w:t>
      </w:r>
    </w:p>
    <w:p>
      <w:r>
        <w:t>A/616/2019</w:t>
      </w:r>
    </w:p>
    <w:p>
      <w:r>
        <w:rPr>
          <w:b/>
        </w:rPr>
        <w:t>E. 19</w:t>
      </w:r>
    </w:p>
    <w:p>
      <w:r>
        <w:t>Par courrier du 30 juin 2020, la chambre de céans a proposé de mandater un autre expert en la personne du docteur E______, spécialiste FMH en rhumatologie ; les parties ne se sont pas opposées à cette proposition.</w:t>
      </w:r>
    </w:p>
    <w:p>
      <w:r>
        <w:rPr>
          <w:b/>
        </w:rPr>
        <w:t>E. 20</w:t>
      </w:r>
    </w:p>
    <w:p>
      <w:r>
        <w:t>Par courrier du 8 janvier 2021, la chambre de céans a fait parvenir aux parties un projet de mission d’expertise avec une liste de questions. Dans le délai qui leur avait été accordé, les parties n’ont pas fait valoir de questions supplémentaires par rapport à la mission d’expertise.</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1er janvier 2021 est entrée en vigueur la modification du 21 juin 2019 de la LPGA. Toutefois, dans la mesure où le recours était, au 1er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le recours est recevable.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- 7/27-</w:t>
      </w:r>
    </w:p>
    <w:p>
      <w:r>
        <w:t>A/616/2019 6.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- 8/27-</w:t>
      </w:r>
    </w:p>
    <w:p>
      <w:r>
        <w:t>A/616/2019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- 9/27-</w:t>
      </w:r>
    </w:p>
    <w:p>
      <w:r>
        <w:t>A/616/2019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w:t>
      </w:r>
    </w:p>
    <w:p>
      <w:r>
        <w:t>- 10/27-</w:t>
      </w:r>
    </w:p>
    <w:p>
      <w:r>
        <w:t>A/616/2019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- 11/27-</w:t>
      </w:r>
    </w:p>
    <w:p>
      <w:r>
        <w:t>A/616/2019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- 12/27-</w:t>
      </w:r>
    </w:p>
    <w:p>
      <w:r>
        <w:t>A/616/2019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131 V 51 consid. 5.1.2 et 5.2, précisé par l’ATF 142 V 290 consid. 7; arrêt du Tribunal fédéral 9C_432/2016 du 10 février 2017 consid. 5.1). La limitation dans le domaine lucratif doit être prise en considération de façon proportionnelle – en fonction de l'étendue de l’hypothétique taux d’activité lucrative à temps partiel (consid. ATF 142 V 290 consid. 7). 14.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w:t>
      </w:r>
    </w:p>
    <w:p>
      <w:r>
        <w:t>- 13/27-</w:t>
      </w:r>
    </w:p>
    <w:p>
      <w:r>
        <w:t>A/616/2019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w:t>
      </w:r>
    </w:p>
    <w:p>
      <w:r>
        <w:t>- 14/27-</w:t>
      </w:r>
    </w:p>
    <w:p>
      <w:r>
        <w:t>A/616/2019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 d.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f. Depuis la 10e édition des ESS (ESS 2012), les emplois sont classés par l'Office fédéral de la statistique (OFS) par profession en fonction du type de travail qui est</w:t>
      </w:r>
    </w:p>
    <w:p>
      <w:r>
        <w:t>- 15/27-</w:t>
      </w:r>
    </w:p>
    <w:p>
      <w:r>
        <w:t>A/616/2019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g.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w:t>
      </w:r>
    </w:p>
    <w:p>
      <w:r>
        <w:t>- 16/27-</w:t>
      </w:r>
    </w:p>
    <w:p>
      <w:r>
        <w:t>A/616/2019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w:t>
      </w:r>
    </w:p>
    <w:p>
      <w:r>
        <w:t>h.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t>i. Selon le tableau T 18 « Salaire mensuel brut (valeur centrale) selon le taux d'occupation, la position professionnelle et le sexe » de l'ESS 2014, on constate en effet que les travailleurs occupés entre 50% et 74% perçoivent un salaire mensuel de CHF 5'714.- (calculé sur la base d'un taux d'occupation de 100%), soit un salaire moins élevé que celui versé en cas d'emploi à temps plein (taux d'occupation de 90% ou plus), lequel se monte à CHF 6'069.-. Dans la mesure où les statistiques démontrent que les travailleurs occupés entre 50% et 74% reçoivent un salaire mensuel inférieur de 5,84% à celui versé aux hommes travaillant à temps plein (taux d'occupation de 90% ou plus), il se justifie de procéder à un abattement supplémentaire pour ce motif (arrêt du Tribunal fédéral 9C_10/2019 du 29 avril 2019 consid. 5.2.2).</w:t>
      </w:r>
    </w:p>
    <w:p>
      <w:r>
        <w:t>Une unilatéralité de fait ou une restriction de la main dominante peut justifier un abattement compris entre 20% et 25% (arrêts du Tribunal fédéral 9C_363/2017 du</w:t>
      </w:r>
    </w:p>
    <w:p>
      <w:r>
        <w:rPr>
          <w:b/>
        </w:rPr>
        <w:t>E. 22</w:t>
      </w:r>
    </w:p>
    <w:p>
      <w:r>
        <w:t>juin 2018 consid. 4.3 et 9C_396/2014 du 15 avril 2015 consid. 5.2).</w:t>
      </w:r>
    </w:p>
    <w:p>
      <w:r>
        <w:t>- 17/27-</w:t>
      </w:r>
    </w:p>
    <w:p>
      <w:r>
        <w:t>A/616/2019 j.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k.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t>- 18/27-</w:t>
      </w:r>
    </w:p>
    <w:p>
      <w:r>
        <w:t>A/616/2019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l.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m.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t>- 19/27-</w:t>
      </w:r>
    </w:p>
    <w:p>
      <w:r>
        <w:t>A/616/2019</w:t>
      </w:r>
    </w:p>
    <w:p>
      <w:r>
        <w:t>n.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w:t>
      </w:r>
    </w:p>
    <w:p>
      <w:r>
        <w:t>o. Si l'on ne peut déterminer ou évaluer sûrement les deux revenus en cause, il faut, en s'inspirant de la méthode spécifique pour personnes sans activité lucrative (art. 28a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op. cit., consid. 5.4.2).</w:t>
      </w:r>
    </w:p>
    <w:p>
      <w:r>
        <w:t>p.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w:t>
      </w:r>
    </w:p>
    <w:p>
      <w:r>
        <w:t>- 20/27-</w:t>
      </w:r>
    </w:p>
    <w:p>
      <w:r>
        <w:t>A/616/2019 professionnelle obligatoire, ainsi que de la durée prévisible des rapports de travail (arrêt du Tribunal fédéral 9C_366/2014 du 19 novembre 2014 consid. 5.2).</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15.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w:t>
      </w:r>
    </w:p>
    <w:p>
      <w:r>
        <w:t>- 21/27-</w:t>
      </w:r>
    </w:p>
    <w:p>
      <w:r>
        <w:t>A/616/2019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16. a.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17.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w:t>
      </w:r>
    </w:p>
    <w:p>
      <w:r>
        <w:t>- 22/27-</w:t>
      </w:r>
    </w:p>
    <w:p>
      <w:r>
        <w:t>A/616/2019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18. En l’espèce, l’assuré invoque, certificat médical de son médecin traitant à l'appui, une aggravation de son état de santé ayant entraîné une diminution de la capacité de travail, qui serait passée de 50% à 30% dans une activité adaptée. L’intimé rejette cette hypothèse, invoquant, notamment, le caractère vague des explications données par le médecin traitant. Au vu de ce qui précède, la chambre de céans est confrontée à une expertise datant de l’année 2016, établissant une capacité de travail de 50% dans une activité adaptée et à un certificat médical du médecin traitant alléguant l’aggravation de l’état de santé et la diminution de la capacité de travail depuis l’année 2018. Compte tenu de cette divergence et de la possibilité que – vu l’état de santé de l’assuré, de son âge et de ses comorbidités – la capacité de travail du recourant ait</w:t>
      </w:r>
    </w:p>
    <w:p>
      <w:r>
        <w:t>- 23/27-</w:t>
      </w:r>
    </w:p>
    <w:p>
      <w:r>
        <w:t>A/616/2019 diminué, il se justifie d’ordonner une expertise médicale qui sera confiée à un médecin rhumatologue. Interpellées par la chambre de céans, les parties ne se sont pas opposées à la désignation de l’expert, ni au libellé des questions de la mission d’expertise.</w:t>
      </w:r>
    </w:p>
    <w:p>
      <w:r>
        <w:t>- 24/27-</w:t>
      </w:r>
    </w:p>
    <w:p>
      <w:r>
        <w:t>A/616/2019 PAR CES MOTIFS, LA CHAMBRE DES ASSURANCES SOCIALES : Statuant préparatoirement I. Ordonne une expertise médicale judiciaire de Monsieur A______.</w:t>
      </w:r>
    </w:p>
    <w:p>
      <w:r>
        <w:t>La confie au docteur E______, rhumatologue, Centre médical de ______, Confignon.</w:t>
      </w:r>
    </w:p>
    <w:p>
      <w:r>
        <w:t>Dit que la mission d’expertise sera la suivante : A. Prendre connaissance du dossier de la cause. B. Si nécessaire prendre tous renseignements auprès des médecins ayant examiné la personne expertisée, notamment les docteurs B______ (rhumatologue) et D______ (médecine interne). C. Examiner et entendre la personne expertisée et si nécessaire, ordonner d'autres examens. D. Charge le Dr E______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t>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L’état de santé de la personne expertisée s’est-il amélioré/détérioré depuis, respectivement, le 1er septembre 2016 et le 1er juillet 2018 ?</w:t>
      </w:r>
    </w:p>
    <w:p>
      <w:r>
        <w:t>- 25/27-</w:t>
      </w:r>
    </w:p>
    <w:p>
      <w:r>
        <w:t>A/616/2019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w:t>
      </w:r>
    </w:p>
    <w:p>
      <w:r>
        <w:t>- 26/27-</w:t>
      </w:r>
    </w:p>
    <w:p>
      <w:r>
        <w:t>A/616/2019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respectivement, le 1er septembre 2016 et le 1er juillet 2018 ?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 8. Appréciation d'avis médicaux du dossier 8.1 Êtes-vous d'accord avec l'avis du Dr B______ selon l’expertise du</w:t>
      </w:r>
    </w:p>
    <w:p>
      <w:r>
        <w:rPr>
          <w:b/>
        </w:rPr>
        <w:t>E. 23</w:t>
      </w:r>
    </w:p>
    <w:p>
      <w:r>
        <w:t>mai 2016 ? En particulier avec les diagnostics posés et l'estimation d'une capacité de travail maximum de la personne expertisée de 50% dès le 1er septembre 2016 ? Si non, pourquoi ? 8.2 Êtes-vous d'accord avec l'avis du Dr D______ selon rapport médical du 15 juillet 2016 ? En particulier avec les diagnostics posés et l'estimation d'une capacité de travail de la personne expertisée de 50% dès le 1er septembre 2016 ? Si non, pourquoi ? 8.3 Êtes-vous d'accord avec le rapport médical du Dr D______ du 11 septembre 2018 et son courrier du 5 novembre 2018 ? En particulier avec l’estimation d’une capacité de travail de 30% dès le 1er juillet 2018 ? Si non, pourquoi ? 8.4 Êtes-vous d'accord avec l’avis de la Dresse C______(SMR) du 14 mars 2019 ? En particulier avec les diagnostics retenus, les limitations fonctionnelles acceptées et l’estimation d’une capacité de travail de</w:t>
      </w:r>
    </w:p>
    <w:p>
      <w:r>
        <w:t>- 27/27-</w:t>
      </w:r>
    </w:p>
    <w:p>
      <w:r>
        <w:t>A/616/2019 50% dans une activité adaptée depuis le 1er juillet 2018 ? Si non, pourquoi ? 9. Quel est le pronostic ? 10. Des mesures de réadaptation professionnelle sont-elles envisageables ? 11. Faire toutes autres observations ou suggestions utiles E. Invite l’expert à déposer, dans les meilleurs délais, un rapport en trois exemplaires auprès de la chambre de céans. F. Réserve le fond ;</w:t>
      </w:r>
    </w:p>
    <w:p>
      <w:r>
        <w:t>La greffière</w:t>
      </w:r>
    </w:p>
    <w:p>
      <w:r>
        <w:t>Nathalie LOCHER</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