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ATAS/399/2019 vom 29. Januar 2018</w:t>
      </w:r>
    </w:p>
    <w:p>
      <w:r>
        <w:t>GE Cour de justice, 2018-01-29, FR</w:t>
      </w:r>
    </w:p>
    <w:p>
      <w:r>
        <w:rPr>
          <w:b/>
        </w:rPr>
        <w:t xml:space="preserve">Quelle: </w:t>
      </w:r>
      <w:r>
        <w:t>https://mcp.opencaselaw.ch/entscheid/ge_gerichte_ATAS_399_2019</w:t>
      </w:r>
    </w:p>
    <w:p>
      <w:r>
        <w:t>FR: GE_GERICHTE ATAS/399/2019 du 29 janvier 2018</w:t>
      </w:r>
    </w:p>
    <w:p>
      <w:r>
        <w:t>IT: GE_GERICHTE ATAS/399/2019 del 29 gennaio 2018</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forme et délai légaux, le recours est recevable (art. 60 al. 1 LPGA, art. 9 de la loi cantonale du 14 octobre 1965 sur les prestations fédérales complémentaires à l’assurance-vieillesse et survivants et à l’assurance-invalidité [LPFC; J 4 20], art. 43 LPCC et 89B de la loi sur la procédure administrative du 12 septembre 1985; LPA - E 5 10).</w:t>
      </w:r>
    </w:p>
    <w:p>
      <w:r>
        <w:rPr>
          <w:b/>
        </w:rPr>
        <w:t>E. 3</w:t>
      </w:r>
    </w:p>
    <w:p>
      <w:r>
        <w:t>Le litige porte sur la durée du délai d’adaptation octroyé par l’intimé avant la prise en compte d'un gain potentiel pour l’épouse du recourant ainsi que sur le montant du gain retenu.</w:t>
      </w:r>
    </w:p>
    <w:p>
      <w:r>
        <w:rPr>
          <w:b/>
        </w:rPr>
        <w:t>E. 4</w:t>
      </w:r>
    </w:p>
    <w:p>
      <w:r>
        <w:t>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le produit de la fortune mobilière et immobilière (let. a), un dixième de la fortune nette pour les bénéficiaires de rentes de vieillesse (let. c), les rentes, pensions et autres prestations périodiques, y compris les rentes de l’AVS</w:t>
      </w:r>
    </w:p>
    <w:p>
      <w:r>
        <w:t>A/2941/2018 - 7/13 - et de l’AI (let. d), les ressources et parts de fortune dont un ayant droit s’est dessaisi (let. g). En pareil cas, le revenu déterminant est augmenté aussi bien d'une fraction de la valeur du bien cédé que de celle du produit que ce bien aurait procuré à l'ayant droit (cf. ATF 123 V 37 ss. consid. 1 et 2; FERRARI, Dessaisissement volontaire et prestations complémentaires à l'assurance-vieillesse et survivants et à l’assurance- invalidité, in: RSAS 2002 p. 419 ss). b. Ont droit aux prestations complémentaires cantonales les personnes dont le revenu annuel déterminant n’atteint pas le revenu minimum cantonal d’aide sociale applicable (art. 4 LPCC). Le revenu déterminant est en principe calculé, conformément aux règles fixées dans la loi fédérale et ses dispositions d'exécution (art. 5 LPCC). L’art. 5 al. 6 LPCC précise qu'il peut être pris en compte un gain hypothétique pour les personnes partiellement invalides, âgées de moins de 60 ans, qui n'exercent pas d'activité lucrative. c. Quant à la possibilité de mettre en valeur la capacité de gain sur le marché de l'emploi, il importe de savoir si et à quelles conditions l'intéressé est en mesure de trouver un travail. À cet égard, il faut prendre en considération, d'une part, l'offre des emplois vacants appropriés et, d'autre part, le nombre de personnes recherchant un travail. Il y a lieu d'examiner concrètement la situation du marché du travail (arrêt du Tribunal fédéral P.61/03 du 22 mars 2004 consid. 2.2). Le Tribunal fédéral a rappelé que l'impossibilité de mettre en valeur une capacité de travail résiduelle ne peut être admise que si elle est démontrée au degré de la vraisemblance prépondérante, l'assuré devant collaborer à l'instruction de cet élément. Notre Haute Cour a ajouté que si les chances de trouver un emploi ont tendance à décroître avec l'âge et l'absence du monde du travail, le marché du travail est en constante évolution et trouver un emploi adapté même trois ans après des recherches infructueuses ne paraît pas d'emblée exclu (arrêt du Tribunal fédéral 9C_120/2012 du 2 mars 2012 consid. 4.2 et 4.5). d. Selon le ch. 3424.07 DPC, aucun revenu hypothétique n’est pris en compte chez le bénéficiaire de PC à l’une ou l’autre des conditions suivantes : (i) si, malgré tous ses efforts, sa bonne volonté et les démarches entreprises, l’assuré ne trouve aucun emploi. Cette hypothèse peut être considérée comme réalisée lorsqu’il s’est adressé à un office régional de placement (ORP) et prouve que ses recherches d’emploi sont suffisantes qualitativement et quantitativement; (ii) lorsqu’il touche des allocations de chômage; (iii) s’il est établi que sans la présence continue de l’assuré à ses côtés, l’autre conjoint devrait être placé dans un home ou un établissement hospitalier; (iv) si l’assuré a atteint sa 60ème année. e. Selon la jurisprudence rendue à propos de l'art. 11 al. 1 let. g LPC, lorsque le conjoint du bénéficiaire de prestations complémentaires à l'AVS/AI serait tenu d'exercer une activité lucrative pour assumer (en tout ou en partie) l'entretien du couple, mais y renonce, il y a lieu de prendre en compte un revenu hypothétique après une période dite d'adaptation (arrêt du Tribunal fédéral 9C_240/2010 du 3 septembre 2010 consid. 4.1). Cette règle s’applique tant lorsqu’une prestation</w:t>
      </w:r>
    </w:p>
    <w:p>
      <w:r>
        <w:t>A/2941/2018 - 8/13 - complémentaire est en cours que lors d’une demande initiale. Une sommation préalable de quelque forme que ce soit n’est en outre pas exigée pour la prise en compte d’un revenu hypothétique après le temps d’adaptation (arrêt du Tribunal fédéral 9C_630/2013 du 29 septembre 2014 consid. 5.1 et 5.2). Le Tribunal fédéral des assurances a considéré que l’octroi d’un délai de six mois par l’administration, porté à douze par la juridiction cantonale, pour la prise en compte d’un revenu hypothétique pour l'épouse d’un assuré invalide - dont l’état de santé ne nécessitait pas de soins -, âgée de 45 ans, au bénéfice d’une formation d'infirmière, sans enfant, ne parlant pas le français, devait être considéré comme suffisamment large, compte tenu du fait qu’elle n’avait pas de charge de ménage et pouvait exercer une activité non qualifiée à temps partiel. Ainsi, la prolongation de six mois supplémentaire accordée par les juges cantonaux pour des raisons linguistiques ne se justifiait pas (arrêt P 40/03 du 9 février 2005 consid. 4.1 et 4.2). Le Tribunal fédéral des assurances a également estimé qu’après une période d'adaptation de six mois suivant la date de son mariage, l’épouse d’un assuré invalide, âgée de 32 ans, en bonne santé, sans enfant à charge, était en mesure d'exercer à plein temps une activité dans le secteur de la production/industries manufacturières, nonobstant sa méconnaissance quasi totale du français (arrêt P 38/05 du 25 août 2006 consid. 4.2). Le Tribunal fédéral a aussi jugé que l'épouse d’un assuré retraité, en bonne santé, n’ayant pas à s'occuper d'enfants en bas âge, pouvait, après une période d'adaptation de dix mois suivant son arrivée en Suisse, exercer une activité lucrative pour participer à l'entretien du ménage (arrêt 9C_240/2010 du 3 septembre 2010 consid. 3 et 4.2). Dans l’ATAS/610/2018 du 28 juin 2018, invoqué par le recourant, la chambre de céans a considéré que même si l’épouse de l’intéressé ne bénéficiait ni d’une expérience professionnelle, ni d’une formation, on ne pouvait considérer, vu son jeune âge et compte tenu du fait qu’elle possédait un permis C, qu’elle avait perdu toute chance de s’intégrer sur le marché du travail dans une activité simple et répétitive ne requérant pas de formation particulière. L’intimé n'avait pas à tenir compte, dans la décision litigieuse, d'une période dite d'adaptation, car l’intéressé et son épouse devaient s’attendre, depuis la notification d’un précédent arrêt de la chambre rendu en 2014, à ce qu’un gain potentiel soit pris en considération une fois leur fils cadet scolarisé. En l’espèce, à la date déterminante du 1er août 2017, l’épouse du recourant, âgée de 30 ans, ne souffrait pas de problèmes de santé, pas plus que l’un de ses enfants. Depuis la rentrée scolaire 2017, le cadet (4 ans et demi) était scolarisé, à l’instar de ses trois aînés. Aussi, la présence de leur mère ne se révélait pas indispensable durant la journée, l’école les occupant à plein temps. Dans l’ATAS/285/2018 du 3 avril 2018, la chambre de céans a estimé qu’au regard de l’ensemble des circonstances, incluant celle que le recourant et son épouse devaient s’attendre à ce que cette dernière prenne un emploi à relativement court</w:t>
      </w:r>
    </w:p>
    <w:p>
      <w:r>
        <w:t>A/2941/2018 - 9/13 - terme, que le temps d’adaptation que l’intimé aurait dû leur accorder avant de retenir un gain potentiel pour le calcul du droit aux prestations complémentaires aurait dû être d’au moins quatre mois. L’épouse, ressortissante suisse, n’avait pas travaillé depuis 2011 et un de ses enfants n’était pas encore scolarisé.</w:t>
      </w:r>
    </w:p>
    <w:p>
      <w:r>
        <w:rPr>
          <w:b/>
        </w:rPr>
        <w:t>E. 5</w:t>
      </w:r>
    </w:p>
    <w:p>
      <w:r>
        <w:t>Pour le revenu hypothétique à prendre en compte, les organes PC se réfèrent aux tables de l’«Enquête suisse sur la structure des salaires». Ce faisant, il s’agit de salaires bruts. Afin de fixer le montant, on tiendra compte des conditions personnelles telles que l’âge, l’état de santé, les connaissances linguistiques, la formation professionnelle, l’activité exercée précédemment, la durée d’inactivité, ou les obligations familiales (enfants en bas âge p. ex). Du revenu brut ainsi fixé, on déduit les cotisations obligatoires dues aux assurances sociales de la Confédération (AVS, AI, APG, AC, AF, AA) et le cas échéant les frais de garde des enfants au sens du n° 3421.04 DPC. Du revenu net ainsi obtenu, il faut déduire le montant non imputable selon le no 3421.04 DPC, le solde étant pris en compte pour les deux tiers. Le montant global de la franchise doit être pris en compte intégralement même si le revenu hypothétique n’est pris en compte que pendant une partie seulement de l’année déterminante pour le calcul de la PC (ch. 3482.04 DPC). Du revenu brut d’une activité lucrative, il faut déduire les frais d’acquisition du revenu dûment établis (ch. 3423.03–3423.04 DPC) et les cotisations obligatoires dues aux assurances sociales de la Confédération (AVS, AI, APG, AC, AF, AA et PP). Peuvent également être déduits les frais de garde des enfants selon les normes de l’impôt cantonal direct. Si ces déductions sont plus élevées que le revenu brut d’une activité lucrative, il n’est pas procédé à une prise en considération du revenu d’une activité lucrative (ch. 3421.04 DPC; ATAS/165/2016 du mars 2016).</w:t>
      </w:r>
    </w:p>
    <w:p>
      <w:r>
        <w:rPr>
          <w:b/>
        </w:rPr>
        <w:t>E. 6</w:t>
      </w:r>
    </w:p>
    <w:p>
      <w:r>
        <w:t>L'art. 25 de l'ordonnance sur les prestations complémentaires à l’assurance- vieillesse, survivants et invalidité du 15 janvier 1971 (OPC-AVS/AI - RS 831.301) permet d'adapter une décision de prestations complémentaires à des modifications postérieures de la situation personnelle et économique de l'ayant-droit en raison d'un changement de circonstances (ATF 119 V 189 consid. 2c; arrêt du Tribunal fédéral 9C_675/2012 du 15 novembre 2012 consid. 3.1; voir aussi Ulrich Meyer-Blaser, Die Anpassung von Ergänzungsleistungen wegen Sachverhaltsänderungen, in: Die Revision von Dauerleistungen in der Sozialversicherung, 1999, p. 29 ss et 40 ss). L'al. 1 de cette disposition règle la modification (augmentation, réduction ou suppression) de la prestation complémentaire annuelle (en cours d'année civile) et concerne la situation d'une révision de prestations durables au sens de l'art. 17 al. 2 LPGA. Son al. 2 règle le moment à partir duquel l'augmentation, la réduction ou la suppression prennent effet. Lorsqu'en application de l'art. 25 OPC-AVS/AI, l'administration effectue une adaptation des prestations à la modification des conditions personnelles ou économiques de l'intéressé, celui-ci peut être tenu de restituer des prestations reçues en trop ; l'art. 25 al. 2 let. c et d in fine OPC-AVS/AI réserve expressément la créance en restitution lorsque l'obligation de renseigner a été violée</w:t>
      </w:r>
    </w:p>
    <w:p>
      <w:r>
        <w:t>A/2941/2018 - 10/13 - (ATF 138 V 298, consid. 5.2.1 et les références; arrêt du Tribunal fédéral 9C_328/2014 du 6 août 2014 consid. 5.1). En dehors de l'éventualité de la violation de l'obligation de renseigner, la jurisprudence a admis que l'ayant droit est tenu à restitution lorsque les conditions de l'art. 25 LPGA sur la restitution de prestations indûment touchées sont réalisées, à savoir les conditions d'une reconsidération ou d'une révision procédurale (ATF 130 V 318 consid. 5.2 et les références; arrêt du Tribunal fédéral 9C_328/2014 du 6 août 2014 consid. 5.2).</w:t>
      </w:r>
    </w:p>
    <w:p>
      <w:r>
        <w:rPr>
          <w:b/>
        </w:rPr>
        <w:t>E. 7</w:t>
      </w:r>
    </w:p>
    <w:p>
      <w:r>
        <w:t>a. Selon l'art. 25 al. 1 phr. 1 LPGA, en relation avec l'art. 2 al. 1 let. a de l'ordonnance sur la partie générale du droit des assurances sociales du</w:t>
      </w:r>
    </w:p>
    <w:p>
      <w:r>
        <w:rPr>
          <w:b/>
        </w:rPr>
        <w:t>E. 11</w:t>
      </w:r>
    </w:p>
    <w:p>
      <w:r>
        <w:t>septembre 2002 (OPGA ; RS 830.11), les prestations complémentaires fédérales indûment touchées doivent être restituées par le bénéficiaire ou par ses héritiers. L'obligation de restituer suppose aujourd'hui encore, conformément à la jurisprudence rendue à propos des anciens art.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w:t>
      </w:r>
    </w:p>
    <w:p>
      <w:r>
        <w:rPr>
          <w:b/>
        </w:rPr>
        <w:t>E. 14</w:t>
      </w:r>
    </w:p>
    <w:p>
      <w:r>
        <w:t>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Au niveau cantonal, l'art. 24 al. 1 1ère phrase LPCC prévoit que les prestations indûment touchées doivent être restituées.</w:t>
      </w:r>
    </w:p>
    <w:p>
      <w:r>
        <w:t>A/2941/2018 - 11/13 - L'art. 14 du règlement relatif aux prestations cantonales complémentaires à l'assurance-vieillesse et survivants et à l’assurance-invalidité du 25 juin 1999 (RPCC-AVS/AI; RS/GE J 4 25.03) précise que le SPC doit demander la restitution des prestations indûment touchées au bénéficiaire, à ses héritiers ou aux autres personnes mentionnées à l'art. 2 OPGA appliqué par analogie (al. 1). Il fixe l'étendue de l'obligation de restituer par décision (al. 2). b. En vertu de l'art. 25 al. 2 phr. 1 LPGA, le droit de demander la restitution s'éteint un an après le moment où l'institution d’assurance a eu connaissance du fait, mais au plus tard cinq ans après le versement de la prestation. Ces délais sont des délais (relatif et absolu) de péremption, qui doivent être examinés d'office (ATF 133 V 579 consid. 4; ATF 128 V 10 consid. 1). 8. 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ATF 126 V 353 consid. 5b; ATF 125 V 193 consid. 2 et les références). Aussi n’existe-t-il pas, en droit des assurances sociales, un principe selon lequel l’administration ou le juge devrait statuer, dans le doute, en faveur de l’assuré (ATF 126 V 319 consid. 5a). 9. En l’espèce, au vu de la jurisprudence précitée, il convient de retenir qu’il pouvait être exigé de la conjointe du recourant qu’elle travaille dès le 1er décembre 2017, soit après une période d’adaptation de cinq mois depuis son mariage – étant rappelé qu’elle était arrivée en Suisse un mois avant ce dernier –, quand bien même elle ne maîtrisait pas encore le français. En effet, elle est jeune, en bonne santé et sans enfant à charge. Elle disposait de plus d’une certaine expérience professionnelle comme vendeuse et de deux courtes formations dans la cuisine et la manucure acquises dans son pays ainsi que de quelques connaissances en anglais. Elle pouvait</w:t>
      </w:r>
    </w:p>
    <w:p>
      <w:r>
        <w:t>A/2941/2018 - 12/13 - ainsi trouver une activité manuelle simple et répétitive. Elle aurait, à tout le moins, dû, s’inscrire au chômage et chercher activement un emploi, ce qu’elle n’a pas fait, avant l’été 2018 et de façon encore limitée puisqu’elle ne s’est adressée qu’à deux ongleries, selon ses propres déclarations. À défaut, elle a violé son obligation de réduire le dommage (arrêt du Tribunal fédéral 9C_717/2010 du 26 janvier 2011 consid. 5.4). Il ressort également de ses déclarations qu’elle aurait pu faire plus d’efforts pour améliorer son français en suivant davantage de cours ou en cherchant des occasions d’exercer cette langue. Le recourant ne peut pas tirer parti de l’ATAS/610/2018 qui concerne une situation différente de la sienne, dans la mesure où la personne concernée était mère de quatre jeunes enfants et que la décision en cause ne prévoyait pas formellement de délai d’adaptation. C’est la chambre de céans qui a estimé qu’un tel délai avait couru depuis la scolarisation du dernier enfant de l’intéressée, soit un an avant la décision querellée, du fait que l’intéressée avait été informée par une précédente décision du fait qu’elle devrait retravailler dès la scolarisation de son dernier enfant. L’ATAS/285/2018, également invoqué par le recourant, concerne aussi un cas différent de celui de son épouse, soit une mère de trois enfants dont l’un n’était pas encore scolarisé. S’agissant de l’arrêt P 40/03 du 9 février 2005, il faut constater que le Tribunal fédéral a estimé qu’un délai d’adaptation de six mois était suffisant pour une personne ne parlant pas le français, pouvant exercer une activité non qualifiée et que la prolongation de six mois supplémentaires accordée par les juges cantonaux pour des raisons linguistiques ne se justifiait pas. Cette jurisprudence ne remet pas en cause le bien-fondé du délai d’adaptation retenu en l’espèce, l’épouse du recourant ayant résidé plus de six mois en Suisse avant la prise en compte d’un gain potentiel. L’intimé a correctement fixé le gain potentiel de l’épouse du recourant en se fondant sur le salaire pour une activité simple et répétitive prévu par les ESS, conformément à la jurisprudence et aux directives applicables. Il a en outre agi dans les délais requis pour demander la restitution, le 29 janvier 2018, ayant appris le mariage du recourant en juin 2017 et obtenu des documents complémentaires à ce sujet en novembre 2017. 10. Infondé, le recours sera rejeté. La procédure est gratuite.</w:t>
      </w:r>
    </w:p>
    <w:p>
      <w:r>
        <w:t>A/2941/2018 - 13/13 -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